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ascii="宋体" w:hAnsi="宋体" w:cs="宋体"/>
          <w:b/>
          <w:color w:val="000000" w:themeColor="text1"/>
          <w:kern w:val="0"/>
          <w:sz w:val="48"/>
          <w:szCs w:val="48"/>
          <w14:textFill>
            <w14:solidFill>
              <w14:schemeClr w14:val="tx1"/>
            </w14:solidFill>
          </w14:textFill>
        </w:rPr>
      </w:pPr>
    </w:p>
    <w:p>
      <w:pPr>
        <w:widowControl/>
        <w:wordWrap w:val="0"/>
        <w:spacing w:line="360" w:lineRule="auto"/>
        <w:jc w:val="center"/>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江苏师范大学</w:t>
      </w:r>
    </w:p>
    <w:p>
      <w:pPr>
        <w:widowControl/>
        <w:wordWrap w:val="0"/>
        <w:spacing w:line="360" w:lineRule="auto"/>
        <w:jc w:val="center"/>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t>科文学院软件工程专业实境实训实验室建设</w:t>
      </w:r>
    </w:p>
    <w:p>
      <w:pPr>
        <w:widowControl/>
        <w:wordWrap w:val="0"/>
        <w:spacing w:line="360" w:lineRule="auto"/>
        <w:jc w:val="center"/>
        <w:rPr>
          <w:rFonts w:ascii="宋体" w:hAnsi="宋体" w:cs="宋体"/>
          <w:b/>
          <w:color w:val="000000" w:themeColor="text1"/>
          <w:kern w:val="0"/>
          <w:sz w:val="32"/>
          <w:szCs w:val="32"/>
          <w14:textFill>
            <w14:solidFill>
              <w14:schemeClr w14:val="tx1"/>
            </w14:solidFill>
          </w14:textFill>
        </w:rPr>
      </w:pPr>
    </w:p>
    <w:p>
      <w:pPr>
        <w:widowControl/>
        <w:spacing w:line="440" w:lineRule="exact"/>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（No：</w:t>
      </w:r>
      <w:r>
        <w:rPr>
          <w:rFonts w:ascii="宋体" w:hAnsi="宋体" w:cs="宋体"/>
          <w:b/>
          <w:color w:val="000000" w:themeColor="text1"/>
          <w:kern w:val="0"/>
          <w:sz w:val="32"/>
          <w:szCs w:val="32"/>
          <w14:textFill>
            <w14:solidFill>
              <w14:schemeClr w14:val="tx1"/>
            </w14:solidFill>
          </w14:textFill>
        </w:rPr>
        <w:t>2018H89156</w:t>
      </w:r>
      <w:r>
        <w:rPr>
          <w:rFonts w:hint="eastAsia" w:ascii="宋体" w:hAnsi="宋体" w:cs="宋体"/>
          <w:b/>
          <w:color w:val="000000" w:themeColor="text1"/>
          <w:kern w:val="0"/>
          <w:sz w:val="32"/>
          <w:szCs w:val="32"/>
          <w14:textFill>
            <w14:solidFill>
              <w14:schemeClr w14:val="tx1"/>
            </w14:solidFill>
          </w14:textFill>
        </w:rPr>
        <w:t>）</w:t>
      </w: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招</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件</w:t>
      </w:r>
    </w:p>
    <w:p>
      <w:pPr>
        <w:widowControl/>
        <w:wordWrap w:val="0"/>
        <w:spacing w:line="360" w:lineRule="auto"/>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江苏师范大学招投标办公室</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201</w:t>
      </w:r>
      <w:r>
        <w:rPr>
          <w:rFonts w:hint="eastAsia" w:ascii="宋体" w:hAnsi="宋体" w:cs="宋体"/>
          <w:b/>
          <w:color w:val="000000" w:themeColor="text1"/>
          <w:kern w:val="0"/>
          <w:sz w:val="24"/>
          <w14:textFill>
            <w14:solidFill>
              <w14:schemeClr w14:val="tx1"/>
            </w14:solidFill>
          </w14:textFill>
        </w:rPr>
        <w:t>8</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12</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20</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br w:type="page"/>
      </w:r>
      <w:r>
        <w:rPr>
          <w:rFonts w:hint="eastAsia" w:ascii="宋体" w:hAnsi="宋体" w:cs="宋体"/>
          <w:b/>
          <w:color w:val="000000" w:themeColor="text1"/>
          <w:kern w:val="0"/>
          <w:sz w:val="24"/>
          <w14:textFill>
            <w14:solidFill>
              <w14:schemeClr w14:val="tx1"/>
            </w14:solidFill>
          </w14:textFill>
        </w:rPr>
        <w:t>第一部分   投标人须知</w:t>
      </w:r>
    </w:p>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一、总则</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定义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“采购人”指</w:t>
      </w:r>
      <w:r>
        <w:rPr>
          <w:rFonts w:hint="eastAsia" w:ascii="宋体" w:hAnsi="宋体"/>
          <w:color w:val="000000" w:themeColor="text1"/>
          <w:sz w:val="24"/>
          <w:u w:val="single"/>
          <w14:textFill>
            <w14:solidFill>
              <w14:schemeClr w14:val="tx1"/>
            </w14:solidFill>
          </w14:textFill>
        </w:rPr>
        <w:t xml:space="preserve">  江苏师范大学  </w:t>
      </w:r>
      <w:r>
        <w:rPr>
          <w:rFonts w:hint="eastAsia" w:ascii="宋体" w:hAnsi="宋体"/>
          <w:color w:val="000000" w:themeColor="text1"/>
          <w:sz w:val="24"/>
          <w14:textFill>
            <w14:solidFill>
              <w14:schemeClr w14:val="tx1"/>
            </w14:solidFill>
          </w14:textFill>
        </w:rPr>
        <w:t>。</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“投标人”指自愿获取本项目招标文件并遵照本招标文件要求参加投标的供应商。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1.3“中标人”指经本项目评标小组确定为本项目中标单位、向其发出《中标通知书》，并授予其供应合同的投标人。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投标人的条件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具有独立承担民事责任的能力；。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2.2具有良好的商业信誉和健全的财务会计制度；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2.3具有履行合同所必需的设备和专业技术能力；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2.4依法缴纳税收和社会保障资金；</w:t>
      </w:r>
      <w:r>
        <w:rPr>
          <w:rFonts w:ascii="宋体" w:hAnsi="宋体"/>
          <w:color w:val="000000" w:themeColor="text1"/>
          <w:sz w:val="24"/>
          <w14:textFill>
            <w14:solidFill>
              <w14:schemeClr w14:val="tx1"/>
            </w14:solidFill>
          </w14:textFill>
        </w:rPr>
        <w:tab/>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2.5参加采购活动前三年内，在经营活动中无重大违法记录；</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2.6进口产品递交响应文件时必须携带有效授权证明；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2.7被授权人投标携带有授权人的有效授权文件。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2.8所投产品须具有产品质量检验、检测报告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招标费用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投标人应自行承担所有与准备和参加本项目招投标有关的所有费用。</w:t>
      </w:r>
    </w:p>
    <w:p>
      <w:pPr>
        <w:spacing w:line="380" w:lineRule="exact"/>
        <w:ind w:firstLine="420"/>
        <w:rPr>
          <w:rFonts w:ascii="宋体" w:hAnsi="宋体"/>
          <w:color w:val="000000" w:themeColor="text1"/>
          <w:sz w:val="24"/>
          <w14:textFill>
            <w14:solidFill>
              <w14:schemeClr w14:val="tx1"/>
            </w14:solidFill>
          </w14:textFill>
        </w:rPr>
      </w:pP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二、招标文件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招标文件由下列五部分内容组成：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第一部分  投标人须知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第二部分  项目概况与要求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第三部分  投标文件格式</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  招标文件的澄清</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如对招标文件有疑问要求澄清的，可在2018年12月28日16:00前以书面形式或传真方式递交到我校招标办（澄清函需加盖投标人公章；传真：0516-83536959），同时将电子版发送至招标办邮箱2561830766@qq.com（电子版包括：澄清函图片格式的扫描件及澄清函内容对应的word文档）。招标办将答疑内容或者更改情况于12月29日17：00前 在“江苏师范大学招标网”（http://ztbb.jsnu.edu.cn/）上公告,请投标人自行关注，招标方将不再另行通知。澄清要求，逾期将不再受理。</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  招标文件的修改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在投标截止期7日以前任何时候，采购人无论出于何种原因，均可对招标文件用补充文件的方式进行修改。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对招标文件的修改，将通过 “江苏师范大学网”或“江苏师范大学招标网”公告。补充文件将作为招标文件的组成部分，对所有投标人均具有约束力。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6.3</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为使投标人有足够的时间按招标文件的修改要求考虑修正投标文件，采购人可酌情推迟投标日期，并将具体变更情况通过上述网页公告。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通知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对与本项目有关的通知，也将通过上述网页公告送达。</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投标文件的语言和计量单位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投标人所提供的投标文件均应使用中文简化字。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投标文件所使用的计量单位，应使用国家法定计量单位。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投标文件的组成及相关要求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9.1.1投标函</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9.1.2法定代表人授权书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9.1.3报价汇总表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9.1.4报价明细表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9.1.5资格证明文件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9.1.6业绩证明资料</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9.1.7技术参数响应情况及技术方案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9.1.8供货及售后服务方案（包含最快供货时间、安装及调试、质保期、售后服务、实施方案、技术培训等）。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9.1.9投标人认为需要的其他文件或说明的问题。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投标文件格式：有要求的必须按照格式（按第三部分规定）要求制作。</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10</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投标内容填写说明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10.1投标人应认真按照招标文件的要求编制完整的投标文件。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10.2招标文件对投标文件格式有要求的应按格式逐项填写内容，不准有空项；无相应内容可填的项应填写“无”、“没有相应指标”等明确的回答文字。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投标文件的编制及编目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11.1投标文件规格幅面统一按A4，并按规定的顺序统一编目编码，分正副本分别胶装成册。</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11.2投标人自行编制的技术文件应能够证明投标人提供的服务是符合招标文件规定的合格的服务。</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投标文件的签署及其他规定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12.1法定代表人如果授权投标人代表投标，其代表须持书面形式的《法定代表人授权委托书》（按照本招标文件要求格式填写），原件须附在投标文件正本规定位置。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12.2投标人应按照招标文件要求，在投标文件适当的位置填写投标人全称并加盖公章，同时签署法定代表人或投标人代表的中文全名。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12.3投标文件必须分别注明“正本”“副本”字样，数量见投标函，并由投标人的法定代表人或投标人代表签署。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12.4投标文件应字迹清楚、内容齐全、不得涂改和增删。如果有修改错漏处，修改处须有投标人公章及法定代表人或投标人代表签字。因投标文件字迹潦草或表达不清所引起的不利后果由投标人承担。</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投标文件的密封及标记</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13.1投标文件正本和副本一并装入一个密封袋中，封口处应有法定代表人或投标人代表的签字及投标人公章。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13.2如果投标人未按上述要求对投标文件密封及加写标记，采购人对投标文件的误投和提前启封概不负责。对由此造成提前开封的投标文件，采购人有权予以拒绝，并退回投标人。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投标文件的修改和撤回</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14.1投标人的修改和撤回投标文件要求，应以书面形式提出，由投标人法定代表人或投标人代表签署，在投标截止时间前递交到招标人，并经招标人签字确认接受，否则无效。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14.2投标人修改投标文件的书面材料，须密封提交，同时应在封套上标明“修改投标文件(并注明项目编号)”和“投标时启封”字样。</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14.3在提交投标文件截止时间之后，投标人不得撤回投标。否则撤回投标文件的行为将被记录在案，投标人今后参与同类采购项目的机会可能会受到影响。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15</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投标截止时间</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15.1具体时间详见招标公告。</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15.2采购人推迟投标截止时间时，采购人和投标人的权利及义务将受到新的截止期的约束。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15.3拒绝接收在提交投标文件截止时间以后送达的投标文件。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16</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投标报价与结算</w:t>
      </w:r>
    </w:p>
    <w:p>
      <w:pPr>
        <w:spacing w:line="380" w:lineRule="exact"/>
        <w:ind w:firstLine="42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16.1所有投标均以人民币“元”为计算单位。投标报价为综合单价，报价应包含设备费、运费（运送到采购方指定地点）税费、人工费、辅材费、装卸费、安装调试费等。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16.2采购人不接受不明确的投标方案和投标。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16.3投标人如中标，其投标文件中载明的单价，在合同执行过程中是固定不变的，投标人不得以任何理由予以变更。以可调整的价格提交的投标将被视为非响应性投标而被拒绝。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16.4最低投标单价不能作为中标的保证。</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转包、分包与联合体投标均不允许。</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18.1详见“招标邀请书”相应规定。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18.2投标保证金必须与投标文件一同递交。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18.3未按前述各款要求提交投标保证金，或所提交保证金不完全符合各项要求的投标，将被视为无效投标。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18.4在公布中标结果后，未中标的投标人的投标保证金即时等额退还；中标人的投标保证金在中标后转为履约合同保证金，在合同履行完毕后等额退还。</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投标文件的有效期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19.1自投标日起90日历天内。如投标人无特别说明，则视为接受此条款。有效期短于该规定期限的投标，将被拒绝。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20.资格审查及废标条款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本项目为资格后审，与开标同时进行。投标人应在投标文件恰当位置（详见本文件9.1条）载明投标人的资格条件，其证明文件须包含企业法人营业执照、税务登记证、组织机构代码证，产品销售的有效授权证明，售后服务能力，近年业绩证明，可为加盖有效印章的复印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20.2投标文件有下列情形之一的，经评标小组评审后按废标处理或被否决：</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（1）投标文件中的投标函未加盖投标人的公章及企业法定代表人印章的，或者企业法定代表人委托代理人没有合法、有效的委托书（原件）及委托代理人印章的。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（2）未按招标文件要求提供投标保证金的。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（3）未按招标文件规定的格式填写，内容不全或关键字模糊、无法辨认的。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（4）投标人递交两份或多份内容不同的投标文件，或在一份投标文件中对同一招标项目报有两个或多个报价，且未声明哪一个有效。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（5）投标人资格条件不符合国家有关规定或招标文件要求的。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（6）投标文件载明的招标项目完成期限超过招标文件规定的期限。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（7）明显不符合技术规范、技术标准的要求。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（8）投标报价超过招标文件规定的预算价或者最高限价的。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（9）不同投标人的投标文件出现了评标小组认为不应当雷同的情况。</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（10）改变招标文件提供的清单中的计量单位、数量。</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（11）经评标小组认定投标人的投标报价低于成本价的。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（12）串通投标、以行贿手段谋取中标或者以其他弄虚作假方式投标的。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（13）与其他投标人串通投标，或者与招标人串通投标的。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（14）符合《中华人民共和国政府采购法》实施条例规定的无效投标规定的。</w:t>
      </w:r>
    </w:p>
    <w:p>
      <w:pPr>
        <w:spacing w:line="380" w:lineRule="exact"/>
        <w:ind w:firstLine="42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s="Arial"/>
          <w:color w:val="000000" w:themeColor="text1"/>
          <w14:textFill>
            <w14:solidFill>
              <w14:schemeClr w14:val="tx1"/>
            </w14:solidFill>
          </w14:textFill>
        </w:rPr>
        <w:t>凡技术参数中标有“★”的条款均须实质响应，投标人若有一项带“★”的条款未响应或不满足，将按无效投标处理。</w:t>
      </w: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四、开标评标</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开标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21.1公开开标，由我校招标办组织，由投标人法人代表或委托代理（具授权函）代表准时参加；由我校监察人员现场监督。</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21.2投标人放弃并撤回的投标将不予开封。</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21.2.1按顺序，每个投标人可以进行澄清和说明。投标人应按招标人通知的时间、地点，由法定代表人或其授权代表参加。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21.2.2澄清内容包括投标人对本项目招标文件响应情况、投标方案的阐述以及评标小组认为有必要明确的其它问题。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21.2.3如果评标小组确认需要投标人就投标文件中的相关问题作出补正，须由投标人代表签字确认。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21.2.4评标过程中，如果评标小组对招标文件实质性内容作出变更，采购人将通知所有参加投标的投标人，使每个投标人均有同等机会根据修改后的招标条件提交新的方案。</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22.评标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22.1. 评标小组组成。评标小组将在我校监督部门监督下，由招标办负责组建，由技术专家及评标专家组成。</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22.2评标：</w:t>
      </w:r>
      <w:r>
        <w:rPr>
          <w:rFonts w:ascii="宋体" w:hAnsi="宋体"/>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采取综合评分法进行评审，并采取打分的方法衡量投标文件是否最大限度地满足招标文件中规定的各项评价标准，满分为100分，</w:t>
      </w:r>
      <w:r>
        <w:rPr>
          <w:rFonts w:hint="eastAsia" w:ascii="宋体" w:hAnsi="宋体"/>
          <w:color w:val="000000" w:themeColor="text1"/>
          <w:sz w:val="24"/>
          <w14:textFill>
            <w14:solidFill>
              <w14:schemeClr w14:val="tx1"/>
            </w14:solidFill>
          </w14:textFill>
        </w:rPr>
        <w:t>评审委员会遵循公平、公正、择优原则，独立按照评分标准分别评定投标人的分值。</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若得分相同，按报价由低到高顺序排列；得分且报价相同，按技术指标优劣顺序排列。</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22.3 </w:t>
      </w:r>
      <w:r>
        <w:rPr>
          <w:rFonts w:hint="eastAsia" w:ascii="宋体" w:hAnsi="宋体"/>
          <w:color w:val="000000" w:themeColor="text1"/>
          <w:sz w:val="24"/>
          <w14:textFill>
            <w14:solidFill>
              <w14:schemeClr w14:val="tx1"/>
            </w14:solidFill>
          </w14:textFill>
        </w:rPr>
        <w:t>评分细则</w:t>
      </w:r>
    </w:p>
    <w:p>
      <w:pPr>
        <w:spacing w:line="420" w:lineRule="exact"/>
        <w:ind w:firstLine="480" w:firstLineChars="200"/>
        <w:rPr>
          <w:rFonts w:ascii="宋体" w:hAnsi="宋体"/>
          <w:color w:val="000000" w:themeColor="text1"/>
          <w:sz w:val="24"/>
          <w14:textFill>
            <w14:solidFill>
              <w14:schemeClr w14:val="tx1"/>
            </w14:solidFill>
          </w14:textFill>
        </w:rPr>
      </w:pPr>
    </w:p>
    <w:tbl>
      <w:tblPr>
        <w:tblStyle w:val="21"/>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76"/>
        <w:gridCol w:w="1334"/>
        <w:gridCol w:w="563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09"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1076"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评审因素</w:t>
            </w:r>
          </w:p>
        </w:tc>
        <w:tc>
          <w:tcPr>
            <w:tcW w:w="1334"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评审项目</w:t>
            </w:r>
          </w:p>
        </w:tc>
        <w:tc>
          <w:tcPr>
            <w:tcW w:w="5637"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评审细则</w:t>
            </w:r>
          </w:p>
        </w:tc>
        <w:tc>
          <w:tcPr>
            <w:tcW w:w="811"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w:t>
            </w:r>
          </w:p>
        </w:tc>
        <w:tc>
          <w:tcPr>
            <w:tcW w:w="10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各投标人价格得分</w:t>
            </w:r>
            <w:r>
              <w:rPr>
                <w:rFonts w:ascii="宋体" w:hAnsi="宋体"/>
                <w:color w:val="000000" w:themeColor="text1"/>
                <w14:textFill>
                  <w14:solidFill>
                    <w14:schemeClr w14:val="tx1"/>
                  </w14:solidFill>
                </w14:textFill>
              </w:rPr>
              <w:t>=最低报价（投标人的最低评审价格）÷各投标人</w:t>
            </w:r>
            <w:r>
              <w:rPr>
                <w:rFonts w:hint="eastAsia" w:ascii="宋体" w:hAnsi="宋体"/>
                <w:color w:val="000000" w:themeColor="text1"/>
                <w14:textFill>
                  <w14:solidFill>
                    <w14:schemeClr w14:val="tx1"/>
                  </w14:solidFill>
                </w14:textFill>
              </w:rPr>
              <w:t>投标</w:t>
            </w:r>
            <w:r>
              <w:rPr>
                <w:rFonts w:ascii="宋体" w:hAnsi="宋体"/>
                <w:color w:val="000000" w:themeColor="text1"/>
                <w14:textFill>
                  <w14:solidFill>
                    <w14:schemeClr w14:val="tx1"/>
                  </w14:solidFill>
                </w14:textFill>
              </w:rPr>
              <w:t>价格×30</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（45分）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技术参数响应</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投标产品技术参数全部符合招标文件技术要求的得24分。技术参数中</w:t>
            </w:r>
            <w:r>
              <w:rPr>
                <w:rFonts w:hint="eastAsia" w:ascii="宋体" w:hAnsi="宋体" w:cs="宋体"/>
                <w:color w:val="000000" w:themeColor="text1"/>
                <w:szCs w:val="21"/>
                <w14:textFill>
                  <w14:solidFill>
                    <w14:schemeClr w14:val="tx1"/>
                  </w14:solidFill>
                </w14:textFill>
              </w:rPr>
              <w:t>有负偏离的每项扣2分，扣完为止；有经专家组认定的正偏离，一项得1分，最高6分。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2</w:t>
            </w:r>
          </w:p>
          <w:p>
            <w:pP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技术方案</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投标人针对所投项目技术方案进行优化设计，评委根据方案的完整性、先进性、可靠性、可扩展性、经济性进行酌情打分</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0-10分。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9" w:type="dxa"/>
            <w:vAlign w:val="center"/>
          </w:tcPr>
          <w:p>
            <w:pPr>
              <w:jc w:val="center"/>
              <w:rPr>
                <w:rFonts w:ascii="宋体" w:hAnsi="宋体"/>
                <w:i/>
                <w:color w:val="000000" w:themeColor="text1"/>
                <w14:textFill>
                  <w14:solidFill>
                    <w14:schemeClr w14:val="tx1"/>
                  </w14:solidFill>
                </w14:textFill>
              </w:rPr>
            </w:pPr>
            <w:r>
              <w:rPr>
                <w:rFonts w:hint="eastAsia" w:ascii="宋体" w:hAnsi="宋体"/>
                <w:i/>
                <w:color w:val="000000" w:themeColor="text1"/>
                <w14:textFill>
                  <w14:solidFill>
                    <w14:schemeClr w14:val="tx1"/>
                  </w14:solidFill>
                </w14:textFill>
              </w:rPr>
              <w:t>2</w:t>
            </w:r>
            <w:r>
              <w:rPr>
                <w:rFonts w:ascii="宋体" w:hAnsi="宋体"/>
                <w:i/>
                <w:color w:val="000000" w:themeColor="text1"/>
                <w14:textFill>
                  <w14:solidFill>
                    <w14:schemeClr w14:val="tx1"/>
                  </w14:solidFill>
                </w14:textFill>
              </w:rPr>
              <w:t>.3</w:t>
            </w:r>
          </w:p>
        </w:tc>
        <w:tc>
          <w:tcPr>
            <w:tcW w:w="1076" w:type="dxa"/>
            <w:vMerge w:val="continue"/>
            <w:vAlign w:val="center"/>
          </w:tcPr>
          <w:p>
            <w:pPr>
              <w:jc w:val="center"/>
              <w:rPr>
                <w:rFonts w:ascii="宋体" w:hAnsi="宋体"/>
                <w:i/>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现场演示</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评委根据现场演示情况综合评分，0-5分。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履约能力</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售后服务</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根据投标文件售后服务承诺书，就投标人售后服务的主动性、实现的可能性；对故障的接受工作制度和机制，售后服务的响应时间、排除故障时间等情况横向比较、酌情评分，最高得0-5分。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实施方案及技术力量</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根据项目具体情况，</w:t>
            </w:r>
            <w:r>
              <w:rPr>
                <w:rFonts w:ascii="宋体" w:hAnsi="宋体" w:cs="宋体"/>
                <w:color w:val="000000" w:themeColor="text1"/>
                <w:szCs w:val="21"/>
                <w14:textFill>
                  <w14:solidFill>
                    <w14:schemeClr w14:val="tx1"/>
                  </w14:solidFill>
                </w14:textFill>
              </w:rPr>
              <w:t>有详细全面的检验、安装、调试、验收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工期</w:t>
            </w:r>
            <w:r>
              <w:rPr>
                <w:rFonts w:hint="eastAsia" w:ascii="宋体" w:hAnsi="宋体" w:cs="宋体"/>
                <w:color w:val="000000" w:themeColor="text1"/>
                <w:szCs w:val="21"/>
                <w14:textFill>
                  <w14:solidFill>
                    <w14:schemeClr w14:val="tx1"/>
                  </w14:solidFill>
                </w14:textFill>
              </w:rPr>
              <w:t>和</w:t>
            </w:r>
            <w:r>
              <w:rPr>
                <w:rFonts w:ascii="宋体" w:hAnsi="宋体" w:cs="宋体"/>
                <w:color w:val="000000" w:themeColor="text1"/>
                <w:szCs w:val="21"/>
                <w14:textFill>
                  <w14:solidFill>
                    <w14:schemeClr w14:val="tx1"/>
                  </w14:solidFill>
                </w14:textFill>
              </w:rPr>
              <w:t>为确保项目实施质量而采取的管理、人员保证措施</w:t>
            </w:r>
            <w:r>
              <w:rPr>
                <w:rFonts w:hint="eastAsia" w:ascii="宋体" w:hAnsi="宋体" w:cs="宋体"/>
                <w:color w:val="000000" w:themeColor="text1"/>
                <w:szCs w:val="21"/>
                <w14:textFill>
                  <w14:solidFill>
                    <w14:schemeClr w14:val="tx1"/>
                  </w14:solidFill>
                </w14:textFill>
              </w:rPr>
              <w:t>等方案内容，酌情打分0-5分。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质保期</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根据投标文件售后服务中的质保期时间，满足2年得2分，每增加一年得1分。本项目最高得分5分。</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投标人业绩</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投标申请人近5年自2013年12月1日以来承担过类似业绩。金额4</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万(含)~5</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万（不含）一份得0.5分；金额50万（含）以上一份得1分。本项目最高得8分。投标时提供合同原件备查，否则不得分。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4.1</w:t>
            </w:r>
          </w:p>
        </w:tc>
        <w:tc>
          <w:tcPr>
            <w:tcW w:w="1076" w:type="dxa"/>
            <w:vMerge w:val="restart"/>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其他（2分）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所报产品为“环境标志产品”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环境标志产品”（必须是有效期内）的得1分，是否为“环境标志产品”，以是否列入中华人民共和国财政部、中华人民共和国环境保护部发布的“环境标志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kern w:val="1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所报产品为“节能产品”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节能产品”（必须是有效期内）的得1分，是否为“节能产品”，以是否列入中华人民共和国财政部、中华人民共和国国家发展和改革委员会发布的“节能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bl>
    <w:p>
      <w:pPr>
        <w:widowControl/>
        <w:ind w:firstLine="42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注：总分值为100分，小数点后保留两位。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22.4 如果投标文件实质上没有响应招标文件的要求，评标小组将予以拒绝，投标人不得通过修改或撤销不合要求的偏离或保留而使其投标成为实质上响应的投标。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22.5评标过程的保密与投标的澄清。开标后，直至向中标的投标人授予合同时止，凡是与审查、澄清、评价和比较投标的有关资料以及授标建议等，均不得向投标人与评标无关的其他人员透露。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22.6定标。评标小组将依据评分细则评分，依据总得分从高到底顺序确定中标候选人，总得分最高者为中标人。中标人确定后，当场向所有投标人宣布。</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五、合同签订及主要条款</w:t>
      </w:r>
    </w:p>
    <w:p>
      <w:pPr>
        <w:spacing w:line="38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23合同签订</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23.2中标人收到中标通知书后应按规定的时间，及时签订供货合同，否则按投标人撤回投标处理。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23.3招标文件和投标文件、中标通知书均为签订合同的依据。</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24.合同主要条款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24.1</w:t>
      </w:r>
      <w:r>
        <w:rPr>
          <w:rFonts w:ascii="宋体" w:hAnsi="宋体"/>
          <w:color w:val="000000" w:themeColor="text1"/>
          <w:sz w:val="24"/>
          <w14:textFill>
            <w14:solidFill>
              <w14:schemeClr w14:val="tx1"/>
            </w14:solidFill>
          </w14:textFill>
        </w:rPr>
        <w:t>采购方与成交方按合同共同进行验收；如未能达到合同要求，采购方有权退货并要求成交方赔偿损失。</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24.2本合同结算货币为人民币，包括全部货物、辅助材料、专利技术、安装、调试、人工、机械、运输、仓储、保险、运费、劳保，各种税费。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24.3付款方式：设备验收合格后，支付合同总额的90%，如无质量与售后服务等方面问题，余款质保期满后一次性付清（无息）。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24.4在设备到货后，供方配合用户完成验收相关工作，并持中标通知书、合同、发票（进口设备为全额形式发票，付汇水单和代理费票（需盖外方章））等至设备供应科办理付款相关手续。</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24.5对于进口设备外贸手续的办理：建议供方在校方提供的外贸公司中选择，由供方负责办理相关免税手续，需方配合供方完成办理免表必须的材料盖章事宜。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24.6若按国家规定必须办理商检或其他手续的进口设备，由供方负责办理相关手续及承担所需费用（由需方配合相应盖章事宜）。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24.7供方配合用户完成验收相关工作，并持中标通知书、合同、发票、入库单等至设备供应科办理付款相关手续。</w:t>
      </w:r>
    </w:p>
    <w:p>
      <w:pPr>
        <w:widowControl/>
        <w:spacing w:line="380" w:lineRule="exact"/>
        <w:jc w:val="center"/>
        <w:rPr>
          <w:rFonts w:ascii="宋体" w:hAnsi="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第二部分   </w:t>
      </w:r>
      <w:r>
        <w:rPr>
          <w:rFonts w:ascii="宋体" w:hAnsi="宋体"/>
          <w:b/>
          <w:color w:val="000000" w:themeColor="text1"/>
          <w:kern w:val="0"/>
          <w:sz w:val="24"/>
          <w14:textFill>
            <w14:solidFill>
              <w14:schemeClr w14:val="tx1"/>
            </w14:solidFill>
          </w14:textFill>
        </w:rPr>
        <w:t>采购项目的技术规格、要求和数量（项目需求书）</w:t>
      </w:r>
    </w:p>
    <w:p>
      <w:pPr>
        <w:widowControl/>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因教学科研</w:t>
      </w:r>
      <w:r>
        <w:rPr>
          <w:rFonts w:ascii="宋体" w:hAnsi="宋体"/>
          <w:color w:val="000000" w:themeColor="text1"/>
          <w:sz w:val="24"/>
          <w14:textFill>
            <w14:solidFill>
              <w14:schemeClr w14:val="tx1"/>
            </w14:solidFill>
          </w14:textFill>
        </w:rPr>
        <w:t>需要，</w:t>
      </w:r>
      <w:r>
        <w:rPr>
          <w:rFonts w:hint="eastAsia" w:ascii="宋体" w:hAnsi="宋体"/>
          <w:color w:val="000000" w:themeColor="text1"/>
          <w:sz w:val="24"/>
          <w14:textFill>
            <w14:solidFill>
              <w14:schemeClr w14:val="tx1"/>
            </w14:solidFill>
          </w14:textFill>
        </w:rPr>
        <w:t>我校需对</w:t>
      </w:r>
      <w:r>
        <w:rPr>
          <w:rFonts w:hint="eastAsia" w:ascii="宋体" w:hAnsi="宋体"/>
          <w:color w:val="000000" w:themeColor="text1"/>
          <w:kern w:val="0"/>
          <w:sz w:val="24"/>
          <w14:textFill>
            <w14:solidFill>
              <w14:schemeClr w14:val="tx1"/>
            </w14:solidFill>
          </w14:textFill>
        </w:rPr>
        <w:t>科文学院软件工程专业实境实训实验室建设采购进行公开招标</w:t>
      </w:r>
      <w:r>
        <w:rPr>
          <w:rFonts w:hint="eastAsia" w:ascii="宋体" w:hAnsi="宋体"/>
          <w:color w:val="000000" w:themeColor="text1"/>
          <w:sz w:val="24"/>
          <w14:textFill>
            <w14:solidFill>
              <w14:schemeClr w14:val="tx1"/>
            </w14:solidFill>
          </w14:textFill>
        </w:rPr>
        <w:t>。现将需求及相关事项明确如下（参数描述为基本要求，欢迎投标人投报高于建议配置但性价比更优的产品）。</w:t>
      </w:r>
    </w:p>
    <w:p>
      <w:pPr>
        <w:widowControl/>
        <w:spacing w:line="40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一、设备清单及技术要求</w:t>
      </w:r>
    </w:p>
    <w:tbl>
      <w:tblPr>
        <w:tblStyle w:val="21"/>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5754"/>
        <w:gridCol w:w="85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03" w:type="dxa"/>
            <w:gridSpan w:val="5"/>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575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参数要求</w:t>
            </w:r>
          </w:p>
        </w:tc>
        <w:tc>
          <w:tcPr>
            <w:tcW w:w="85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680"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云机房虚拟化服务器</w:t>
            </w:r>
          </w:p>
        </w:tc>
        <w:tc>
          <w:tcPr>
            <w:tcW w:w="5754" w:type="dxa"/>
            <w:shd w:val="clear" w:color="auto" w:fill="auto"/>
          </w:tcPr>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知名品牌，机架式，2U高度，带安装导轨。</w:t>
            </w:r>
          </w:p>
          <w:p>
            <w:pPr>
              <w:pStyle w:val="38"/>
              <w:numPr>
                <w:ilvl w:val="0"/>
                <w:numId w:val="2"/>
              </w:numPr>
              <w:ind w:firstLineChar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配置2颗Intel Xeon处理器，单颗CPU性能不低于12核2.2GHz主频；</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配置内存容量不低于192GB DDR4 2133MHz，并支持高级内存纠错、内存镜像、内存热备等高级功能。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配置至少包含1块512GB SSD和</w:t>
            </w: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块4TB 7200RPM SATA 6Gbp</w:t>
            </w:r>
            <w:r>
              <w:rPr>
                <w:rFonts w:hint="eastAsia"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集成I/O端口至少包含2个外置USB 2.0口，1个VGA接口。</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网络控制器集成4个高性能千兆以太</w:t>
            </w:r>
            <w:r>
              <w:rPr>
                <w:rFonts w:hint="eastAsia" w:ascii="宋体" w:hAnsi="宋体" w:eastAsia="宋体"/>
                <w:color w:val="000000" w:themeColor="text1"/>
                <w14:textFill>
                  <w14:solidFill>
                    <w14:schemeClr w14:val="tx1"/>
                  </w14:solidFill>
                </w14:textFill>
              </w:rPr>
              <w:t>网口</w:t>
            </w:r>
            <w:r>
              <w:rPr>
                <w:rFonts w:ascii="宋体" w:hAnsi="宋体" w:eastAsia="宋体"/>
                <w:color w:val="000000" w:themeColor="text1"/>
                <w14:textFill>
                  <w14:solidFill>
                    <w14:schemeClr w14:val="tx1"/>
                  </w14:solidFill>
                </w14:textFill>
              </w:rPr>
              <w:t>，支持虚拟化加速、网络加速、负载均衡和冗余等高级功能。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w:t>
            </w:r>
            <w:r>
              <w:rPr>
                <w:rFonts w:hint="eastAsia" w:ascii="宋体" w:hAnsi="宋体" w:eastAsia="宋体"/>
                <w:color w:val="000000" w:themeColor="text1"/>
                <w14:textFill>
                  <w14:solidFill>
                    <w14:schemeClr w14:val="tx1"/>
                  </w14:solidFill>
                </w14:textFill>
              </w:rPr>
              <w:t>2个电源模块,每个</w:t>
            </w:r>
            <w:r>
              <w:rPr>
                <w:rFonts w:ascii="宋体" w:hAnsi="宋体" w:eastAsia="宋体"/>
                <w:color w:val="000000" w:themeColor="text1"/>
                <w14:textFill>
                  <w14:solidFill>
                    <w14:schemeClr w14:val="tx1"/>
                  </w14:solidFill>
                </w14:textFill>
              </w:rPr>
              <w:t>不低于</w:t>
            </w:r>
            <w:r>
              <w:rPr>
                <w:rFonts w:hint="eastAsia" w:ascii="宋体" w:hAnsi="宋体" w:eastAsia="宋体"/>
                <w:color w:val="000000" w:themeColor="text1"/>
                <w14:textFill>
                  <w14:solidFill>
                    <w14:schemeClr w14:val="tx1"/>
                  </w14:solidFill>
                </w14:textFill>
              </w:rPr>
              <w:t>450W</w:t>
            </w:r>
            <w:r>
              <w:rPr>
                <w:rFonts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配置原厂简体中文管理软件，采用高级服务器管理模块，提供远程诊断功能，支持IPMI1.5、IPMI2.0、EMP和KVM over IP；中文管理软件；</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支持服务器故障自动迁移，当集群中冗余资源足够时，集群中任意1台服务器损坏，冗余服务器自动接管，不影响系统工作。</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 须通过国家强制CCC认证以及节能认证；（提供加盖制造商公章的证书复印件）</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桌面云终端</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为保证考试环境的兼容与稳定，所有终端采用X</w:t>
            </w:r>
            <w:r>
              <w:rPr>
                <w:rFonts w:ascii="宋体" w:hAnsi="宋体"/>
                <w:color w:val="000000" w:themeColor="text1"/>
                <w14:textFill>
                  <w14:solidFill>
                    <w14:schemeClr w14:val="tx1"/>
                  </w14:solidFill>
                </w14:textFill>
              </w:rPr>
              <w:t>86</w:t>
            </w:r>
            <w:r>
              <w:rPr>
                <w:rFonts w:hint="eastAsia" w:ascii="宋体" w:hAnsi="宋体"/>
                <w:color w:val="000000" w:themeColor="text1"/>
                <w14:textFill>
                  <w14:solidFill>
                    <w14:schemeClr w14:val="tx1"/>
                  </w14:solidFill>
                </w14:textFill>
              </w:rPr>
              <w:t>架构软硬一体设备，须满足以下要求</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1.规格：</w:t>
            </w:r>
            <w:r>
              <w:rPr>
                <w:rFonts w:ascii="宋体" w:hAnsi="宋体"/>
                <w:color w:val="000000" w:themeColor="text1"/>
                <w14:textFill>
                  <w14:solidFill>
                    <w14:schemeClr w14:val="tx1"/>
                  </w14:solidFill>
                </w14:textFill>
              </w:rPr>
              <w:t>X86架构云终端；</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2.CPU≥Intel四核四线程CPU，2.0GHZ</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3.内存≥</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G DDR3</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4.硬盘≥1</w:t>
            </w:r>
            <w:r>
              <w:rPr>
                <w:rFonts w:hint="eastAsia" w:ascii="宋体" w:hAnsi="宋体"/>
                <w:color w:val="000000" w:themeColor="text1"/>
                <w14:textFill>
                  <w14:solidFill>
                    <w14:schemeClr w14:val="tx1"/>
                  </w14:solidFill>
                </w14:textFill>
              </w:rPr>
              <w:t>28</w:t>
            </w:r>
            <w:r>
              <w:rPr>
                <w:rFonts w:ascii="宋体" w:hAnsi="宋体"/>
                <w:color w:val="000000" w:themeColor="text1"/>
                <w14:textFill>
                  <w14:solidFill>
                    <w14:schemeClr w14:val="tx1"/>
                  </w14:solidFill>
                </w14:textFill>
              </w:rPr>
              <w:t>G SSD</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5.视频接口≥1*VGA,1*HDMI</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6.USB接口≥4xUSB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7.网络≥1000Mb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8.支持上电自启动，支持远程唤醒</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9.21.5寸液晶显示器；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10.键鼠；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.背挂：提供显示器背挂支架，可以背挂显示器上节省空间；</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支持内置虚拟桌面客户端程序可免身份验证,直接登录虚拟桌面。为方便教学，支持学生终端自动登录虚拟机，并支持对于所有虚拟终端实现一键关机、切换教学场景等功能，支持虚拟桌面断线自动重连。课时根据授课需要，可以实现在学生端无需重启的情况下，老师强制性一键切换操作系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w:t>
            </w:r>
            <w:r>
              <w:rPr>
                <w:rFonts w:ascii="宋体" w:hAnsi="宋体"/>
                <w:color w:val="000000" w:themeColor="text1"/>
                <w14:textFill>
                  <w14:solidFill>
                    <w14:schemeClr w14:val="tx1"/>
                  </w14:solidFill>
                </w14:textFill>
              </w:rPr>
              <w:t>.客户端</w:t>
            </w:r>
            <w:r>
              <w:rPr>
                <w:rFonts w:hint="eastAsia" w:ascii="宋体" w:hAnsi="宋体"/>
                <w:color w:val="000000" w:themeColor="text1"/>
                <w14:textFill>
                  <w14:solidFill>
                    <w14:schemeClr w14:val="tx1"/>
                  </w14:solidFill>
                </w14:textFill>
              </w:rPr>
              <w:t>能够</w:t>
            </w:r>
            <w:r>
              <w:rPr>
                <w:rFonts w:ascii="宋体" w:hAnsi="宋体"/>
                <w:color w:val="000000" w:themeColor="text1"/>
                <w14:textFill>
                  <w14:solidFill>
                    <w14:schemeClr w14:val="tx1"/>
                  </w14:solidFill>
                </w14:textFill>
              </w:rPr>
              <w:t>支持双操作系统，一个是可在本地独立运行的标准 Windows 7 操作系统，一个是 Linux 操作系统用于安装云桌面接入软件用于接入服务端的教育云桌面系统；教育云桌面系统故障时可自动切换至本地独立备用系统运行，以免延误正常教学；</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桌面虚拟化软件</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1.支持在一个终端上登录多个个人桌面。</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2.支持模板属性配置，至少可配置模板名称、信息描述、网络、CPU和内存资源，CPU最大支持32核，内存最大支持64GB；（提供加盖原厂公章的功能截图）</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支持教学桌面和个人桌面两种使用方式，教学桌面下可免账号直接登录桌面，个人桌面下需要账号密码登录，每个用户都可获得自己专用桌面；两种桌面都可独立设定系统盘和数据盘的</w:t>
            </w:r>
            <w:r>
              <w:rPr>
                <w:rFonts w:hint="eastAsia" w:ascii="宋体" w:hAnsi="宋体"/>
                <w:color w:val="000000" w:themeColor="text1"/>
                <w14:textFill>
                  <w14:solidFill>
                    <w14:schemeClr w14:val="tx1"/>
                  </w14:solidFill>
                </w14:textFill>
              </w:rPr>
              <w:t>定期</w:t>
            </w:r>
            <w:r>
              <w:rPr>
                <w:rFonts w:ascii="宋体" w:hAnsi="宋体"/>
                <w:color w:val="000000" w:themeColor="text1"/>
                <w14:textFill>
                  <w14:solidFill>
                    <w14:schemeClr w14:val="tx1"/>
                  </w14:solidFill>
                </w14:textFill>
              </w:rPr>
              <w:t>还原</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xml:space="preserve">.创建桌面时可自动批量分配虚拟机IP地址，计算机名，用户登录名(虚拟桌面开机后只可看到修改后的唯一用户名)，便于教室环境有序管理；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.支持对个人桌面的自动快照，可按周或按月进行，后期可根据需要对个人桌面执行恢复操作，保障桌面数据安全；（提供加盖原厂公章的功能截图）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.支持在一个终端上同时登录多个个人桌面，桌面可窗口化显示，无需桌面切换即可满足用户同时使用2个不同的桌面场景</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提供联动关机设置策略，可实现虚拟桌面正常关机时，终端设备自动关机；终端设备按电源键时虚拟桌面自动关机，终端异常断电时可根据策略实现虚拟机自动关机或挂起；（提供加盖原厂公章的功能截图）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.支持对终端设备的手动和自动排序，全新部署时，终端可自动获取序号，也可通过管理平台实现终端序号批量与座位号对应；</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.支持设置终端是否自动进入虚拟桌面，自动进入时可设置倒计时提示框；</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s="Segoe UI Symbol"/>
                <w:color w:val="000000" w:themeColor="text1"/>
                <w14:textFill>
                  <w14:solidFill>
                    <w14:schemeClr w14:val="tx1"/>
                  </w14:solidFill>
                </w14:textFill>
              </w:rPr>
              <w:t>9</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支持在虚拟桌面管理平台上编辑学期课表 (无需依赖第三方软件或脚本)，可设置学期开始和结束时间、每节课起始时间（支持单双周排课），可将桌面模板</w:t>
            </w:r>
            <w:r>
              <w:rPr>
                <w:rFonts w:hint="eastAsia" w:ascii="宋体" w:hAnsi="宋体"/>
                <w:color w:val="000000" w:themeColor="text1"/>
                <w14:textFill>
                  <w14:solidFill>
                    <w14:schemeClr w14:val="tx1"/>
                  </w14:solidFill>
                </w14:textFill>
              </w:rPr>
              <w:t>编辑</w:t>
            </w:r>
            <w:r>
              <w:rPr>
                <w:rFonts w:ascii="宋体" w:hAnsi="宋体"/>
                <w:color w:val="000000" w:themeColor="text1"/>
                <w14:textFill>
                  <w14:solidFill>
                    <w14:schemeClr w14:val="tx1"/>
                  </w14:solidFill>
                </w14:textFill>
              </w:rPr>
              <w:t>到课表中，并按课表时间自动启动桌面环境，便于桌面的灵活切换；（提供加盖原厂公章的功能截图）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.支持定时开关机功能，可设置按周期在固定时间唤醒和关闭对应的教学桌面终端；（提供加盖原厂公章的功能截图）</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1</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支持手机APP客户端，能够使用管理平台账号密码登录，并读取平台中教室分类，以及教室终端总数及在线数，能够单独选择关闭控制节点、所有计算节点、终端（提供加盖原厂公章的功能截图）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.支持资源回收功能，当教学桌面或个人桌面断开连接一定时间后（该时间可在管理平台设置）可实现自然关机或挂起，释放占用资源</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3</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提供桌面检测工具，</w:t>
            </w:r>
            <w:r>
              <w:rPr>
                <w:rFonts w:hint="eastAsia" w:ascii="宋体" w:hAnsi="宋体"/>
                <w:color w:val="000000" w:themeColor="text1"/>
                <w14:textFill>
                  <w14:solidFill>
                    <w14:schemeClr w14:val="tx1"/>
                  </w14:solidFill>
                </w14:textFill>
              </w:rPr>
              <w:t>以便</w:t>
            </w:r>
            <w:r>
              <w:rPr>
                <w:rFonts w:ascii="宋体" w:hAnsi="宋体"/>
                <w:color w:val="000000" w:themeColor="text1"/>
                <w14:textFill>
                  <w14:solidFill>
                    <w14:schemeClr w14:val="tx1"/>
                  </w14:solidFill>
                </w14:textFill>
              </w:rPr>
              <w:t>排查桌面故障</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14</w:t>
            </w:r>
            <w:r>
              <w:rPr>
                <w:rFonts w:ascii="宋体" w:hAnsi="宋体"/>
                <w:color w:val="000000" w:themeColor="text1"/>
                <w14:textFill>
                  <w14:solidFill>
                    <w14:schemeClr w14:val="tx1"/>
                  </w14:solidFill>
                </w14:textFill>
              </w:rPr>
              <w:t>支持显卡虚拟化技术，可兼容AMD/NVIDIA显卡,两者可在同一集群中使用,每个虚拟机可获得独立的显卡资源，能够限定GPU虚拟化上限值，保证每个虚拟机分配固定的显卡资源</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报警功能，用户可以选择主机范围配置报警项，至少包括CPU利用率、内存利用率、磁盘使用空间、桌面运行时间、授权时间5项内容，可设置报警项的触发条件和持续时间，报警信息可推送给不同的管理员邮箱；（提供加盖原厂公章的功能截图）</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w:t>
            </w:r>
            <w:r>
              <w:rPr>
                <w:rFonts w:ascii="宋体" w:hAnsi="宋体"/>
                <w:color w:val="000000" w:themeColor="text1"/>
                <w14:textFill>
                  <w14:solidFill>
                    <w14:schemeClr w14:val="tx1"/>
                  </w14:solidFill>
                </w14:textFill>
              </w:rPr>
              <w:t xml:space="preserve">.支持有存储和无存储下的虚拟桌面HA，可设置优先级和响应时间，当承载虚拟桌面的服务器出现故障时，可以根据设定的HA策略，在指定的服务器上继续运行虚拟桌面； </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支持定时开关机功能，可设置按周期在固定时间唤醒和关闭对应的教学桌面终端</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s="Segoe UI Symbol"/>
                <w:color w:val="000000" w:themeColor="text1"/>
                <w14:textFill>
                  <w14:solidFill>
                    <w14:schemeClr w14:val="tx1"/>
                  </w14:solidFill>
                </w14:textFill>
              </w:rPr>
              <w:t>17</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支持系统数据库的备份，保障平台数据库安全性；（提供加盖原厂公章的功能截图）</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w:t>
            </w:r>
            <w:r>
              <w:rPr>
                <w:rFonts w:ascii="宋体" w:hAnsi="宋体"/>
                <w:color w:val="000000" w:themeColor="text1"/>
                <w14:textFill>
                  <w14:solidFill>
                    <w14:schemeClr w14:val="tx1"/>
                  </w14:solidFill>
                </w14:textFill>
              </w:rPr>
              <w:t>.提供桌面快速部署功能，部署时模板镜像可从服务器端导入也可直接本地上传，注册模板之后便可直接创建教学桌面环境，降低桌面创建复杂度</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w:t>
            </w:r>
            <w:r>
              <w:rPr>
                <w:rFonts w:ascii="宋体" w:hAnsi="宋体"/>
                <w:color w:val="000000" w:themeColor="text1"/>
                <w14:textFill>
                  <w14:solidFill>
                    <w14:schemeClr w14:val="tx1"/>
                  </w14:solidFill>
                </w14:textFill>
              </w:rPr>
              <w:t>.支持系统桌面功能，可在管理平台直接选择安装包创建虚拟机，可设置随宿主机自动启动，支持按需选择透传设备，可用于搭建考试服务器等应用服务</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r>
              <w:rPr>
                <w:rFonts w:ascii="宋体" w:hAnsi="宋体"/>
                <w:color w:val="000000" w:themeColor="text1"/>
                <w14:textFill>
                  <w14:solidFill>
                    <w14:schemeClr w14:val="tx1"/>
                  </w14:solidFill>
                </w14:textFill>
              </w:rPr>
              <w:t>.支持本地视频重定向技术，无论采用linux客户端或者win客户端，在播放1080p视频的同时桌面cpu消耗低于20%</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支持磁盘缓存加速，在管理平台可通过开关控制，提高磁盘io速度</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2</w:t>
            </w:r>
            <w:r>
              <w:rPr>
                <w:rFonts w:hint="eastAsia" w:ascii="宋体" w:hAnsi="宋体" w:cs="Segoe UI Symbol"/>
                <w:color w:val="000000" w:themeColor="text1"/>
                <w14:textFill>
                  <w14:solidFill>
                    <w14:schemeClr w14:val="tx1"/>
                  </w14:solidFill>
                </w14:textFill>
              </w:rPr>
              <w:t>1</w:t>
            </w:r>
            <w:r>
              <w:rPr>
                <w:rFonts w:ascii="宋体" w:hAnsi="宋体" w:cs="Segoe UI Symbo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能够实现</w:t>
            </w:r>
            <w:r>
              <w:rPr>
                <w:rFonts w:ascii="宋体" w:hAnsi="宋体"/>
                <w:color w:val="000000" w:themeColor="text1"/>
                <w14:textFill>
                  <w14:solidFill>
                    <w14:schemeClr w14:val="tx1"/>
                  </w14:solidFill>
                </w14:textFill>
              </w:rPr>
              <w:t>批量对终端分辨率设置</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能实现</w:t>
            </w:r>
            <w:r>
              <w:rPr>
                <w:rFonts w:ascii="宋体" w:hAnsi="宋体"/>
                <w:color w:val="000000" w:themeColor="text1"/>
                <w14:textFill>
                  <w14:solidFill>
                    <w14:schemeClr w14:val="tx1"/>
                  </w14:solidFill>
                </w14:textFill>
              </w:rPr>
              <w:t>对不同的功能模块和教室范围进行权限角色的划分</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2</w:t>
            </w:r>
            <w:r>
              <w:rPr>
                <w:rFonts w:hint="eastAsia" w:ascii="宋体" w:hAnsi="宋体" w:cs="Segoe UI Symbol"/>
                <w:color w:val="000000" w:themeColor="text1"/>
                <w14:textFill>
                  <w14:solidFill>
                    <w14:schemeClr w14:val="tx1"/>
                  </w14:solidFill>
                </w14:textFill>
              </w:rPr>
              <w:t>3</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支持在虚拟化平台上查看服务器和虚拟机的运行详细情况，包括服务器和虚拟桌面的CPU占用率、内存占用率、磁盘读写速度、网络流量、进程资源占用率</w:t>
            </w:r>
            <w:r>
              <w:rPr>
                <w:rFonts w:hint="eastAsia" w:ascii="宋体" w:hAnsi="宋体"/>
                <w:color w:val="000000" w:themeColor="text1"/>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多媒体教学软件</w:t>
            </w:r>
          </w:p>
        </w:tc>
        <w:tc>
          <w:tcPr>
            <w:tcW w:w="5754" w:type="dxa"/>
            <w:shd w:val="clear" w:color="auto" w:fill="auto"/>
          </w:tcPr>
          <w:p>
            <w:pP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.支持将教师机屏幕上的内容实时广播给部分或全体学生；支持在云主机宕机的情况下进行广播，支持后登录的学生机自动进入屏幕广播。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.教师可选定一个学生操作本机或教师机进行教学演示，并将该学生演示的画面转播给</w:t>
            </w:r>
            <w:r>
              <w:rPr>
                <w:rFonts w:hint="eastAsia" w:ascii="宋体" w:hAnsi="宋体"/>
                <w:color w:val="000000" w:themeColor="text1"/>
                <w14:textFill>
                  <w14:solidFill>
                    <w14:schemeClr w14:val="tx1"/>
                  </w14:solidFill>
                </w14:textFill>
              </w:rPr>
              <w:t>其他</w:t>
            </w:r>
            <w:r>
              <w:rPr>
                <w:rFonts w:ascii="宋体" w:hAnsi="宋体"/>
                <w:color w:val="000000" w:themeColor="text1"/>
                <w14:textFill>
                  <w14:solidFill>
                    <w14:schemeClr w14:val="tx1"/>
                  </w14:solidFill>
                </w14:textFill>
              </w:rPr>
              <w:t>学生。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.教师将本地视频文件广播给学生，后登录的学生机可自动进入影音广播。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.教师机可以</w:t>
            </w:r>
            <w:r>
              <w:rPr>
                <w:rFonts w:hint="eastAsia" w:ascii="宋体" w:hAnsi="宋体"/>
                <w:color w:val="000000" w:themeColor="text1"/>
                <w14:textFill>
                  <w14:solidFill>
                    <w14:schemeClr w14:val="tx1"/>
                  </w14:solidFill>
                </w14:textFill>
              </w:rPr>
              <w:t>对</w:t>
            </w:r>
            <w:r>
              <w:rPr>
                <w:rFonts w:ascii="宋体" w:hAnsi="宋体"/>
                <w:color w:val="000000" w:themeColor="text1"/>
                <w14:textFill>
                  <w14:solidFill>
                    <w14:schemeClr w14:val="tx1"/>
                  </w14:solidFill>
                </w14:textFill>
              </w:rPr>
              <w:t>本机的操作过程、讲解</w:t>
            </w:r>
            <w:r>
              <w:rPr>
                <w:rFonts w:hint="eastAsia" w:ascii="宋体" w:hAnsi="宋体"/>
                <w:color w:val="000000" w:themeColor="text1"/>
                <w14:textFill>
                  <w14:solidFill>
                    <w14:schemeClr w14:val="tx1"/>
                  </w14:solidFill>
                </w14:textFill>
              </w:rPr>
              <w:t>进行</w:t>
            </w:r>
            <w:r>
              <w:rPr>
                <w:rFonts w:ascii="宋体" w:hAnsi="宋体"/>
                <w:color w:val="000000" w:themeColor="text1"/>
                <w14:textFill>
                  <w14:solidFill>
                    <w14:schemeClr w14:val="tx1"/>
                  </w14:solidFill>
                </w14:textFill>
              </w:rPr>
              <w:t>录制</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.教师可以</w:t>
            </w:r>
            <w:r>
              <w:rPr>
                <w:rFonts w:hint="eastAsia" w:ascii="宋体" w:hAnsi="宋体"/>
                <w:color w:val="000000" w:themeColor="text1"/>
                <w14:textFill>
                  <w14:solidFill>
                    <w14:schemeClr w14:val="tx1"/>
                  </w14:solidFill>
                </w14:textFill>
              </w:rPr>
              <w:t>通过本软件</w:t>
            </w:r>
            <w:r>
              <w:rPr>
                <w:rFonts w:ascii="宋体" w:hAnsi="宋体"/>
                <w:color w:val="000000" w:themeColor="text1"/>
                <w14:textFill>
                  <w14:solidFill>
                    <w14:schemeClr w14:val="tx1"/>
                  </w14:solidFill>
                </w14:textFill>
              </w:rPr>
              <w:t>布置课堂作业</w:t>
            </w:r>
            <w:r>
              <w:rPr>
                <w:rFonts w:hint="eastAsia" w:ascii="宋体" w:hAnsi="宋体"/>
                <w:color w:val="000000" w:themeColor="text1"/>
                <w14:textFill>
                  <w14:solidFill>
                    <w14:schemeClr w14:val="tx1"/>
                  </w14:solidFill>
                </w14:textFill>
              </w:rPr>
              <w:t>、批改作业</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分享作业</w:t>
            </w:r>
            <w:r>
              <w:rPr>
                <w:rFonts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.教师对学生进行电子点名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7.教师机可以连续监看所选学生机屏幕</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8.教师可以现场编辑试卷</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设置考试时长</w:t>
            </w:r>
            <w:r>
              <w:rPr>
                <w:rFonts w:hint="eastAsia" w:ascii="宋体" w:hAnsi="宋体"/>
                <w:color w:val="000000" w:themeColor="text1"/>
                <w14:textFill>
                  <w14:solidFill>
                    <w14:schemeClr w14:val="tx1"/>
                  </w14:solidFill>
                </w14:textFill>
              </w:rPr>
              <w:t>，支持</w:t>
            </w:r>
            <w:r>
              <w:rPr>
                <w:rFonts w:ascii="宋体" w:hAnsi="宋体"/>
                <w:color w:val="000000" w:themeColor="text1"/>
                <w14:textFill>
                  <w14:solidFill>
                    <w14:schemeClr w14:val="tx1"/>
                  </w14:solidFill>
                </w14:textFill>
              </w:rPr>
              <w:t>自动</w:t>
            </w:r>
            <w:r>
              <w:rPr>
                <w:rFonts w:hint="eastAsia" w:ascii="宋体" w:hAnsi="宋体"/>
                <w:color w:val="000000" w:themeColor="text1"/>
                <w14:textFill>
                  <w14:solidFill>
                    <w14:schemeClr w14:val="tx1"/>
                  </w14:solidFill>
                </w14:textFill>
              </w:rPr>
              <w:t>收卷、在线</w:t>
            </w:r>
            <w:r>
              <w:rPr>
                <w:rFonts w:ascii="宋体" w:hAnsi="宋体"/>
                <w:color w:val="000000" w:themeColor="text1"/>
                <w14:textFill>
                  <w14:solidFill>
                    <w14:schemeClr w14:val="tx1"/>
                  </w14:solidFill>
                </w14:textFill>
              </w:rPr>
              <w:t>阅卷。</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9.教师可禁用学生USB和禁用外网。</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10.不接受终端或者服务器端插入任何硬件类设备的授权方式。</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终端运维系统</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支持对终端电脑和云终端操作系统（xp\win7\win8\win10\linux）的立即还原</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.支持服务器操作系统（windows\2003\2008\2013、redhat、ubuntu、CentOS、Fedara）的立即还原和快照瞬间创建和恢复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3.支持多块硬盘的保护和数据同传，并且兼容固态硬盘结合机械硬盘的混合模式。</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可对</w:t>
            </w:r>
            <w:r>
              <w:rPr>
                <w:rFonts w:hint="eastAsia" w:ascii="宋体" w:hAnsi="宋体"/>
                <w:color w:val="000000" w:themeColor="text1"/>
                <w14:textFill>
                  <w14:solidFill>
                    <w14:schemeClr w14:val="tx1"/>
                  </w14:solidFill>
                </w14:textFill>
              </w:rPr>
              <w:t>不少于</w:t>
            </w:r>
            <w:r>
              <w:rPr>
                <w:rFonts w:ascii="宋体" w:hAnsi="宋体"/>
                <w:color w:val="000000" w:themeColor="text1"/>
                <w14:textFill>
                  <w14:solidFill>
                    <w14:schemeClr w14:val="tx1"/>
                  </w14:solidFill>
                </w14:textFill>
              </w:rPr>
              <w:t>500台电脑同时进行数据差异拷贝，只传送差异数据，无增量拷贝增量基准点限制。</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支持多系统引导，并可授权不同的管理员管理不同的操作系统。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.支持全局唯一标识磁盘分区表和可扩展固件接口，可支持100个以上分区，每个分区最大支持256T容量，支持AD域，可设置域环境是否开启域封装</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可根据不同的时间节点自动限定终端机不同的网络上行和下行流量。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.可根据不同的教学要求，创建多套教学场景，教师可一键式切换场景,也可以学生本地自主选择，教学场景无需重新分区和重复安装操作系统。</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支持本地终端个人桌面，个人通过管理员分配的帐号和密码进入自己的操作系统，跟其他人的系统和教学系统相隔离。</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提供性能监控功能，可监控终端机中的</w:t>
            </w:r>
            <w:r>
              <w:rPr>
                <w:rFonts w:ascii="宋体" w:hAnsi="宋体"/>
                <w:color w:val="000000" w:themeColor="text1"/>
                <w14:textFill>
                  <w14:solidFill>
                    <w14:schemeClr w14:val="tx1"/>
                  </w14:solidFill>
                </w14:textFill>
              </w:rPr>
              <w:t>CPU、开机使用率等指标的实时数据统计。</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支持多管理端方式管理终端，可以机房和办公室分别安装管理机进行管理</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★为保证系统兼容性和稳定性，要求以上所有功能为同一品牌同一产品，不允许多种产品拼凑而成。</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★为方便管理，以及云教室机房兼容性，要求与桌面虚拟化软件同一品牌。</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终端接入交换机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★端口：24个10/100/1000Base-T以太网端口，2个SFP口；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交换容量：48Gbps；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包转发率：36Mpps；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汇聚交换机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★端口：28个10/100/1000Base-T端口，4个复用的千兆Combo SFP端口，4个10GE SFP+端口；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交换容量：598Gbps；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包转发率：222Mpps；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教师计算机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品牌电脑</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英特尔八代酷睿i5-8500/8G/1T/2G独显/23英寸显示器/键鼠</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服务器机柜</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42U服务器标准机柜</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其他辅材</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光纤、光纤模块、网线、控制线、电源线以及相应接头等辅材</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系统集成费</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方案设计、进场前准备工作服务、现场系统搭建服务、现场软件部署服务、现场试运行驻场服务、现场验收服务</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503" w:type="dxa"/>
            <w:gridSpan w:val="5"/>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品牌工作站</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酷睿i5/8G内存/128GSSD系统盘/1TB硬盘/2G独显/DVD光驱/24寸显示器/键鼠</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移动管理计算机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12.3英寸触摸屏；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CPU型号第八代Core i5</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内存容量8GB；</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硬盘容量256GB SSD；</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触控屏支持十点触控；</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屏幕尺寸12.3英寸；</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显示比例3:2；</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屏幕分辨率2736x1824；</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显卡芯片Intel GMA UHD 620；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摄像头双摄像头（前置：500万像素，后置：800万像素）；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麦克风内置双麦克风；</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无线网卡支持802.11a/b/g/n/ac无线协议；</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蓝牙支持，蓝牙4.1模块；</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数据接口1×USB3.0；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视频接口Mini DisplayPort；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音频接口3.5mm耳机接口；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其它接口Surface Connect，保护套端口；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读卡器Micro SDXC读卡器；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指取设备数字输入笔；</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可拆卸键盘；</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支持智能人脸识别功能；</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聚合物电池续航时间13.5小时左右；</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安全性能提升企业安全性的TPM2.0芯片；</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通过Windows Hello面部登录实现企业级保护；</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配备原厂黑色专业指纹识别键盘盖，</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bl>
    <w:p>
      <w:pPr>
        <w:widowControl/>
        <w:spacing w:line="380" w:lineRule="exact"/>
        <w:ind w:firstLine="42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二、其它说明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1.本项目主要针对原有计算机机房及多媒体教室进行改造。3间计算机机房共194台计算机，多媒体教室共18间。3间计算机机房在原计算机上部署虚拟化软件，18间多媒体教室部署桌面云终端。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2.本项目基于X86架构，使用双系统。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3.本项目使用双桌面的方式，即教学桌面、个人桌面。教学桌面免密登录，个人桌面需使用用户名和密码登录。</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提供服务器虚拟化软件、终端运维系统软件的著作权登记证书复印件（加盖公章）</w:t>
      </w:r>
    </w:p>
    <w:p>
      <w:pPr>
        <w:widowControl/>
        <w:spacing w:line="380" w:lineRule="exact"/>
        <w:ind w:firstLine="42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开标时，需要对云桌面虚拟化产品部分功能进行现场演示。</w:t>
      </w:r>
    </w:p>
    <w:p>
      <w:pPr>
        <w:widowControl/>
        <w:spacing w:before="156" w:after="156"/>
        <w:ind w:firstLine="420"/>
        <w:jc w:val="left"/>
        <w:rPr>
          <w:rFonts w:hint="eastAsia" w:ascii="宋体" w:hAnsi="宋体"/>
          <w:bCs/>
          <w:color w:val="000000" w:themeColor="text1"/>
          <w:szCs w:val="21"/>
          <w14:textFill>
            <w14:solidFill>
              <w14:schemeClr w14:val="tx1"/>
            </w14:solidFill>
          </w14:textFill>
        </w:rPr>
      </w:pPr>
      <w:r>
        <w:rPr>
          <w:rFonts w:ascii="宋体" w:hAnsi="宋体" w:cs="Arial"/>
          <w:color w:val="000000" w:themeColor="text1"/>
          <w14:textFill>
            <w14:solidFill>
              <w14:schemeClr w14:val="tx1"/>
            </w14:solidFill>
          </w14:textFill>
        </w:rPr>
        <w:t>6</w:t>
      </w:r>
      <w:r>
        <w:rPr>
          <w:rFonts w:hint="eastAsia" w:ascii="宋体" w:hAnsi="宋体" w:cs="Arial"/>
          <w:color w:val="000000" w:themeColor="text1"/>
          <w14:textFill>
            <w14:solidFill>
              <w14:schemeClr w14:val="tx1"/>
            </w14:solidFill>
          </w14:textFill>
        </w:rPr>
        <w:t>.</w:t>
      </w:r>
      <w:r>
        <w:rPr>
          <w:rFonts w:hint="eastAsia" w:ascii="宋体" w:hAnsi="宋体"/>
          <w:bCs/>
          <w:color w:val="000000" w:themeColor="text1"/>
          <w:szCs w:val="21"/>
          <w14:textFill>
            <w14:solidFill>
              <w14:schemeClr w14:val="tx1"/>
            </w14:solidFill>
          </w14:textFill>
        </w:rPr>
        <w:t>中标后在七工作日内采购方有权要求提供整套桌面虚拟化软件的完整功能演示，并能够满足计算机基础教学环境需求和能保证计算机等级考试、ATA考试。</w:t>
      </w:r>
    </w:p>
    <w:p>
      <w:pPr>
        <w:spacing w:line="380" w:lineRule="exact"/>
        <w:ind w:firstLine="420"/>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7.本项目涉及知识产权归校方所有，如有知识产权纠纷等事宜由投标人负责解决，中标结果公示期间校方有权要求中标候选人提供相关资料证明所提产品为正品、新品。</w:t>
      </w:r>
    </w:p>
    <w:p>
      <w:pPr>
        <w:widowControl/>
        <w:tabs>
          <w:tab w:val="left" w:pos="1260"/>
        </w:tabs>
        <w:spacing w:before="156" w:after="156"/>
        <w:ind w:firstLine="42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r>
        <w:rPr>
          <w:rFonts w:hint="eastAsia" w:ascii="宋体" w:hAnsi="宋体"/>
          <w:bCs/>
          <w:color w:val="000000" w:themeColor="text1"/>
          <w:szCs w:val="21"/>
          <w14:textFill>
            <w14:solidFill>
              <w14:schemeClr w14:val="tx1"/>
            </w14:solidFill>
          </w14:textFill>
        </w:rPr>
        <w:t>.本项目需要考察现场，联系人：程老师，联系电话：13951350333</w:t>
      </w:r>
    </w:p>
    <w:p>
      <w:pPr>
        <w:widowControl/>
        <w:spacing w:line="380" w:lineRule="exact"/>
        <w:ind w:firstLine="420"/>
        <w:jc w:val="left"/>
        <w:rPr>
          <w:rFonts w:ascii="宋体" w:hAnsi="宋体"/>
          <w:color w:val="000000" w:themeColor="text1"/>
          <w:sz w:val="24"/>
          <w14:textFill>
            <w14:solidFill>
              <w14:schemeClr w14:val="tx1"/>
            </w14:solidFill>
          </w14:textFill>
        </w:rPr>
      </w:pPr>
    </w:p>
    <w:p>
      <w:pPr>
        <w:widowControl/>
        <w:spacing w:line="440" w:lineRule="exact"/>
        <w:jc w:val="center"/>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第三部分   投标文件格式</w:t>
      </w: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一、投标函</w:t>
      </w:r>
    </w:p>
    <w:p>
      <w:pPr>
        <w:spacing w:before="156" w:beforeLines="50"/>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投标人全称  </w:t>
      </w:r>
      <w:r>
        <w:rPr>
          <w:rFonts w:hint="eastAsia" w:ascii="宋体" w:hAnsi="宋体"/>
          <w:color w:val="000000" w:themeColor="text1"/>
          <w:sz w:val="24"/>
          <w14:textFill>
            <w14:solidFill>
              <w14:schemeClr w14:val="tx1"/>
            </w14:solidFill>
          </w14:textFill>
        </w:rPr>
        <w:t>授权</w:t>
      </w:r>
      <w:r>
        <w:rPr>
          <w:rFonts w:hint="eastAsia" w:ascii="宋体" w:hAnsi="宋体"/>
          <w:color w:val="000000" w:themeColor="text1"/>
          <w:sz w:val="24"/>
          <w:u w:val="single"/>
          <w14:textFill>
            <w14:solidFill>
              <w14:schemeClr w14:val="tx1"/>
            </w14:solidFill>
          </w14:textFill>
        </w:rPr>
        <w:t xml:space="preserve"> 投标人代表姓名 (职务、职称) </w:t>
      </w:r>
      <w:r>
        <w:rPr>
          <w:rFonts w:hint="eastAsia" w:ascii="宋体" w:hAnsi="宋体"/>
          <w:color w:val="000000" w:themeColor="text1"/>
          <w:sz w:val="24"/>
          <w14:textFill>
            <w14:solidFill>
              <w14:schemeClr w14:val="tx1"/>
            </w14:solidFill>
          </w14:textFill>
        </w:rPr>
        <w:t>为我方代表，参加贵方组织的</w:t>
      </w:r>
      <w:r>
        <w:rPr>
          <w:rFonts w:hint="eastAsia" w:ascii="宋体" w:hAnsi="宋体"/>
          <w:color w:val="000000" w:themeColor="text1"/>
          <w:sz w:val="24"/>
          <w:u w:val="single"/>
          <w14:textFill>
            <w14:solidFill>
              <w14:schemeClr w14:val="tx1"/>
            </w14:solidFill>
          </w14:textFill>
        </w:rPr>
        <w:t xml:space="preserve"> 项目名称与项目编号 </w:t>
      </w:r>
      <w:r>
        <w:rPr>
          <w:rFonts w:hint="eastAsia" w:ascii="宋体" w:hAnsi="宋体"/>
          <w:color w:val="000000" w:themeColor="text1"/>
          <w:sz w:val="24"/>
          <w14:textFill>
            <w14:solidFill>
              <w14:schemeClr w14:val="tx1"/>
            </w14:solidFill>
          </w14:textFill>
        </w:rPr>
        <w:t>招标的有关活动，并对此项目以总价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元)进行投标。为此：</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1、我方同意在本项目招标文件中规定的投标日起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日内遵守本文中的承诺且在此期限期满之前均具有约束力。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2、我方承诺已经具备《中华人民共和国政府采购法》中规定的参加政府采购活动的供应商应当具备的条件：</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（1）具有独立承担民事责任的能力；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（2）具有良好的商业信誉和健全的财务会计制度；</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（3）具有履行合同所必需的设备和专业技术能力；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（4）有依法缴纳税收和社会保障资金的良好记录；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（5）参加此项采购活动前三年内，在经营活动中没有重大违法记录。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3、提供投标须知规定的全部投标文件，包括投标文件正本1份，副本5份。</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4、按招标文件要求提供和交付的货物和服务的投标详见报价一览表与服务方案。</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5、保证忠实地执行双方所签订的合同，并承担合同规定的责任和义务。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6、保证遵守招标文件的规定。</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7、如果在规定的投标有效期内撤回投标，我方愿被列入不良记录名单。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8、我方完全理解贵方不一定接受最低价的投标或收到的任何投标。</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10、我方已详细审核全部投标文件，包括投标文件修改书（如果有的话）、参考资料及有关附件，确认无误。</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11、我方承诺：采购人如果需追加采购本项目招标文件所列货物及相关服务的，在不改变合同其他实质性条款的前提下，按相同或更优惠的折扣保证供货。</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12、我方承诺接受招标文件中《中标合同》的全部条款且无任何异议。</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（1）提供虚假材料谋取中标的；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（2）采取不正当手段诋毁、排挤其他供应商的；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（3）与采购人、其它供应商或者采购人工作人员恶意串通的；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（4）向采购人、采购人工作人员行贿或者提供其他不正当利益的；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（5）未经采购人同意，在采购过程中与采购人进行协商招标的；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（6）拒绝有关部门监督检查或提供虚假情况的；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（7）拒绝质量技术监督部门对中标货物作质量检验的。</w:t>
      </w: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（公章）</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投标人代表签字：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年    月    日</w:t>
      </w:r>
    </w:p>
    <w:p>
      <w:pPr>
        <w:ind w:firstLine="480" w:firstLineChars="200"/>
        <w:rPr>
          <w:rFonts w:ascii="宋体" w:hAnsi="宋体"/>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二、法定代表人授权委托书</w:t>
      </w:r>
    </w:p>
    <w:p>
      <w:pPr>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本授权书声明：注册于</w:t>
      </w:r>
      <w:r>
        <w:rPr>
          <w:rFonts w:hint="eastAsia" w:ascii="宋体" w:hAnsi="宋体"/>
          <w:color w:val="000000" w:themeColor="text1"/>
          <w:sz w:val="24"/>
          <w:u w:val="single"/>
          <w14:textFill>
            <w14:solidFill>
              <w14:schemeClr w14:val="tx1"/>
            </w14:solidFill>
          </w14:textFill>
        </w:rPr>
        <w:t xml:space="preserve">    （投标人住址）    </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 xml:space="preserve">   （投标人名称）  </w:t>
      </w: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（法定代表人姓名、职务）   </w:t>
      </w:r>
      <w:r>
        <w:rPr>
          <w:rFonts w:hint="eastAsia" w:ascii="宋体" w:hAnsi="宋体"/>
          <w:color w:val="000000" w:themeColor="text1"/>
          <w:sz w:val="24"/>
          <w14:textFill>
            <w14:solidFill>
              <w14:schemeClr w14:val="tx1"/>
            </w14:solidFill>
          </w14:textFill>
        </w:rPr>
        <w:t xml:space="preserve">代表本公司授权在下面签字的                   </w:t>
      </w:r>
      <w:r>
        <w:rPr>
          <w:rFonts w:hint="eastAsia" w:ascii="宋体" w:hAnsi="宋体"/>
          <w:color w:val="000000" w:themeColor="text1"/>
          <w:sz w:val="24"/>
          <w:u w:val="single"/>
          <w14:textFill>
            <w14:solidFill>
              <w14:schemeClr w14:val="tx1"/>
            </w14:solidFill>
          </w14:textFill>
        </w:rPr>
        <w:t>（投标人代表姓名、职务）</w:t>
      </w:r>
      <w:r>
        <w:rPr>
          <w:rFonts w:hint="eastAsia" w:ascii="宋体" w:hAnsi="宋体"/>
          <w:color w:val="000000" w:themeColor="text1"/>
          <w:sz w:val="24"/>
          <w14:textFill>
            <w14:solidFill>
              <w14:schemeClr w14:val="tx1"/>
            </w14:solidFill>
          </w14:textFill>
        </w:rPr>
        <w:t>为本公司的合法代理人。就贵方组织的                     项目（项目名称：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），该代理人可以本公司名义处理一切与之有关的事务。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本授权书于    年  月  日签字生效，特此声明。</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投标人全称、投标人公章：</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w:t>
      </w:r>
    </w:p>
    <w:p>
      <w:pPr>
        <w:ind w:firstLine="5520" w:firstLineChars="2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三、投标报价一览表</w:t>
      </w: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00" w:lineRule="exact"/>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 1.投标报价汇总表(单位:元)</w:t>
      </w:r>
    </w:p>
    <w:tbl>
      <w:tblPr>
        <w:tblStyle w:val="21"/>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651"/>
        <w:gridCol w:w="3317"/>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55" w:type="dxa"/>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2651"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名称</w:t>
            </w:r>
          </w:p>
        </w:tc>
        <w:tc>
          <w:tcPr>
            <w:tcW w:w="3317"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总价</w:t>
            </w:r>
          </w:p>
        </w:tc>
        <w:tc>
          <w:tcPr>
            <w:tcW w:w="226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云桌面虚拟化管理设备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3406"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合计（大写）</w:t>
            </w:r>
          </w:p>
        </w:tc>
        <w:tc>
          <w:tcPr>
            <w:tcW w:w="5577"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bl>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质保期：</w:t>
      </w:r>
    </w:p>
    <w:p>
      <w:pPr>
        <w:spacing w:line="40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 投标人（公章）：</w:t>
      </w:r>
    </w:p>
    <w:p>
      <w:pPr>
        <w:spacing w:line="400" w:lineRule="exact"/>
        <w:jc w:val="cente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日期：  年   月 </w:t>
      </w:r>
      <w:r>
        <w:rPr>
          <w:rFonts w:hint="eastAsia" w:ascii="宋体" w:hAnsi="宋体"/>
          <w:bCs/>
          <w:color w:val="000000" w:themeColor="text1"/>
          <w:sz w:val="24"/>
          <w:lang w:val="en-US" w:eastAsia="zh-CN"/>
          <w14:textFill>
            <w14:solidFill>
              <w14:schemeClr w14:val="tx1"/>
            </w14:solidFill>
          </w14:textFill>
        </w:rPr>
        <w:t xml:space="preserve">   </w:t>
      </w:r>
      <w:r>
        <w:rPr>
          <w:rFonts w:ascii="宋体" w:hAnsi="宋体"/>
          <w:bCs/>
          <w:color w:val="000000" w:themeColor="text1"/>
          <w:sz w:val="24"/>
          <w14:textFill>
            <w14:solidFill>
              <w14:schemeClr w14:val="tx1"/>
            </w14:solidFill>
          </w14:textFill>
        </w:rPr>
        <w:t>日</w:t>
      </w:r>
      <w:bookmarkStart w:id="0" w:name="_GoBack"/>
      <w:bookmarkEnd w:id="0"/>
    </w:p>
    <w:p>
      <w:pPr>
        <w:numPr>
          <w:ilvl w:val="0"/>
          <w:numId w:val="3"/>
        </w:numPr>
        <w:spacing w:line="40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投标报价明细表(单位:元)</w:t>
      </w:r>
    </w:p>
    <w:tbl>
      <w:tblPr>
        <w:tblStyle w:val="21"/>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3042"/>
        <w:gridCol w:w="741"/>
        <w:gridCol w:w="729"/>
        <w:gridCol w:w="144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bl>
    <w:p>
      <w:pPr>
        <w:spacing w:line="400" w:lineRule="exac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注：“设备名称”一栏应详细填写该套设备（系统）的组成部分，包括主要零部件、配件、模块等，应明确反映出该套设备（系统）的价格构成，如既有国产设备又有进口设备则采用人民币报价方式。</w:t>
      </w:r>
      <w:r>
        <w:rPr>
          <w:rFonts w:ascii="宋体" w:hAnsi="宋体"/>
          <w:bCs/>
          <w:color w:val="000000" w:themeColor="text1"/>
          <w:sz w:val="24"/>
          <w14:textFill>
            <w14:solidFill>
              <w14:schemeClr w14:val="tx1"/>
            </w14:solidFill>
          </w14:textFill>
        </w:rPr>
        <w:t xml:space="preserve"> </w:t>
      </w:r>
    </w:p>
    <w:p>
      <w:pPr>
        <w:snapToGrid w:val="0"/>
        <w:spacing w:line="400" w:lineRule="exact"/>
        <w:ind w:firstLine="472" w:firstLineChars="196"/>
        <w:rPr>
          <w:b/>
          <w:color w:val="000000" w:themeColor="text1"/>
          <w:sz w:val="24"/>
          <w14:textFill>
            <w14:solidFill>
              <w14:schemeClr w14:val="tx1"/>
            </w14:solidFill>
          </w14:textFill>
        </w:rPr>
      </w:pPr>
    </w:p>
    <w:p>
      <w:pPr>
        <w:snapToGrid w:val="0"/>
        <w:spacing w:line="400" w:lineRule="exact"/>
        <w:ind w:firstLine="472" w:firstLineChars="196"/>
        <w:rPr>
          <w:rFonts w:ascii="宋体" w:hAnsi="宋体" w:cs="宋体"/>
          <w:b/>
          <w:color w:val="000000" w:themeColor="text1"/>
          <w:kern w:val="0"/>
          <w:sz w:val="24"/>
          <w14:textFill>
            <w14:solidFill>
              <w14:schemeClr w14:val="tx1"/>
            </w14:solidFill>
          </w14:textFill>
        </w:rPr>
      </w:pPr>
      <w:r>
        <w:rPr>
          <w:rFonts w:hint="eastAsia"/>
          <w:b/>
          <w:color w:val="000000" w:themeColor="text1"/>
          <w:sz w:val="24"/>
          <w14:textFill>
            <w14:solidFill>
              <w14:schemeClr w14:val="tx1"/>
            </w14:solidFill>
          </w14:textFill>
        </w:rPr>
        <w:t>四、技术偏离表（</w:t>
      </w:r>
      <w:r>
        <w:rPr>
          <w:rFonts w:ascii="宋体" w:hAnsi="宋体" w:cs="宋体"/>
          <w:b/>
          <w:color w:val="000000" w:themeColor="text1"/>
          <w:kern w:val="0"/>
          <w:sz w:val="24"/>
          <w14:textFill>
            <w14:solidFill>
              <w14:schemeClr w14:val="tx1"/>
            </w14:solidFill>
          </w14:textFill>
        </w:rPr>
        <w:t>请如实填写下表</w:t>
      </w:r>
      <w:r>
        <w:rPr>
          <w:rFonts w:hint="eastAsia"/>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1483"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设备名称</w:t>
            </w:r>
          </w:p>
        </w:tc>
        <w:tc>
          <w:tcPr>
            <w:tcW w:w="203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招标</w:t>
            </w:r>
            <w:r>
              <w:rPr>
                <w:rFonts w:hint="eastAsia" w:ascii="宋体" w:hAnsi="宋体" w:cs="宋体"/>
                <w:b/>
                <w:color w:val="000000" w:themeColor="text1"/>
                <w:kern w:val="0"/>
                <w:sz w:val="24"/>
                <w14:textFill>
                  <w14:solidFill>
                    <w14:schemeClr w14:val="tx1"/>
                  </w14:solidFill>
                </w14:textFill>
              </w:rPr>
              <w:t>技术参数</w:t>
            </w:r>
          </w:p>
        </w:tc>
        <w:tc>
          <w:tcPr>
            <w:tcW w:w="2105"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投标技术参数</w:t>
            </w:r>
          </w:p>
        </w:tc>
        <w:tc>
          <w:tcPr>
            <w:tcW w:w="212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投标人（公章）：</w:t>
      </w:r>
    </w:p>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日期：  年    月    日</w:t>
      </w:r>
    </w:p>
    <w:p>
      <w:pPr>
        <w:pStyle w:val="18"/>
        <w:widowControl w:val="0"/>
        <w:topLinePunct/>
        <w:spacing w:before="0" w:beforeAutospacing="0" w:after="0" w:afterAutospacing="0" w:line="400" w:lineRule="exact"/>
        <w:ind w:firstLine="482" w:firstLineChars="200"/>
        <w:jc w:val="both"/>
        <w:rPr>
          <w:color w:val="000000" w:themeColor="text1"/>
          <w14:textFill>
            <w14:solidFill>
              <w14:schemeClr w14:val="tx1"/>
            </w14:solidFill>
          </w14:textFill>
        </w:rPr>
      </w:pPr>
      <w:r>
        <w:rPr>
          <w:rFonts w:hint="eastAsia"/>
          <w:b/>
          <w:color w:val="000000" w:themeColor="text1"/>
          <w14:textFill>
            <w14:solidFill>
              <w14:schemeClr w14:val="tx1"/>
            </w14:solidFill>
          </w14:textFill>
        </w:rPr>
        <w:t>五、商务偏离表（</w:t>
      </w:r>
      <w:r>
        <w:rPr>
          <w:b/>
          <w:color w:val="000000" w:themeColor="text1"/>
          <w14:textFill>
            <w14:solidFill>
              <w14:schemeClr w14:val="tx1"/>
            </w14:solidFill>
          </w14:textFill>
        </w:rPr>
        <w:t>请如实填写下表</w:t>
      </w:r>
      <w:r>
        <w:rPr>
          <w:rFonts w:hint="eastAsia"/>
          <w:b/>
          <w:color w:val="000000" w:themeColor="text1"/>
          <w14:textFill>
            <w14:solidFill>
              <w14:schemeClr w14:val="tx1"/>
            </w14:solidFill>
          </w14:textFill>
        </w:rPr>
        <w:t>）</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序号</w:t>
            </w:r>
          </w:p>
        </w:tc>
        <w:tc>
          <w:tcPr>
            <w:tcW w:w="1483"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偏离名称</w:t>
            </w:r>
          </w:p>
        </w:tc>
        <w:tc>
          <w:tcPr>
            <w:tcW w:w="203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招标文件要求</w:t>
            </w:r>
          </w:p>
        </w:tc>
        <w:tc>
          <w:tcPr>
            <w:tcW w:w="2105"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响应情况</w:t>
            </w:r>
          </w:p>
        </w:tc>
        <w:tc>
          <w:tcPr>
            <w:tcW w:w="212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投标人（公章）：</w:t>
      </w:r>
    </w:p>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日期：  年    月    日</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资格证明文件。</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业绩证明资料。</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实施方案、人员配备及技术力量。</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供货及售后服务方案（包含最快供货时间、安装及调试、质保期、售后服务、技术培训等）。</w:t>
      </w:r>
    </w:p>
    <w:p>
      <w:pPr>
        <w:spacing w:line="440" w:lineRule="exact"/>
        <w:ind w:firstLine="480" w:firstLineChars="200"/>
        <w:rPr>
          <w:rFonts w:ascii="宋体" w:hAnsi="宋体"/>
          <w:b/>
          <w:bCs/>
          <w:color w:val="000000" w:themeColor="text1"/>
          <w:szCs w:val="21"/>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十、投标人认为需要的其他文件或说明的问题。</w:t>
      </w:r>
    </w:p>
    <w:p>
      <w:pPr>
        <w:rPr>
          <w:rFonts w:ascii="宋体" w:hAnsi="宋体"/>
          <w:color w:val="000000" w:themeColor="text1"/>
          <w:szCs w:val="21"/>
          <w14:textFill>
            <w14:solidFill>
              <w14:schemeClr w14:val="tx1"/>
            </w14:solidFill>
          </w14:textFill>
        </w:rPr>
      </w:pPr>
    </w:p>
    <w:sectPr>
      <w:footerReference r:id="rId3" w:type="default"/>
      <w:pgSz w:w="11906" w:h="16838"/>
      <w:pgMar w:top="1417" w:right="1253" w:bottom="1043" w:left="1253" w:header="851"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TC-535a79d16b636587">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778726"/>
    <w:multiLevelType w:val="singleLevel"/>
    <w:tmpl w:val="EA778726"/>
    <w:lvl w:ilvl="0" w:tentative="0">
      <w:start w:val="6"/>
      <w:numFmt w:val="chineseCounting"/>
      <w:suff w:val="nothing"/>
      <w:lvlText w:val="%1、"/>
      <w:lvlJc w:val="left"/>
      <w:rPr>
        <w:rFonts w:hint="eastAsia"/>
      </w:rPr>
    </w:lvl>
  </w:abstractNum>
  <w:abstractNum w:abstractNumId="1">
    <w:nsid w:val="1B2C0C1E"/>
    <w:multiLevelType w:val="multilevel"/>
    <w:tmpl w:val="1B2C0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7D6B8B"/>
    <w:multiLevelType w:val="singleLevel"/>
    <w:tmpl w:val="657D6B8B"/>
    <w:lvl w:ilvl="0" w:tentative="0">
      <w:start w:val="2"/>
      <w:numFmt w:val="decimal"/>
      <w:lvlText w:val="%1."/>
      <w:lvlJc w:val="left"/>
      <w:pPr>
        <w:tabs>
          <w:tab w:val="left" w:pos="312"/>
        </w:tabs>
      </w:pPr>
    </w:lvl>
  </w:abstractNum>
  <w:abstractNum w:abstractNumId="3">
    <w:nsid w:val="669B1E50"/>
    <w:multiLevelType w:val="multilevel"/>
    <w:tmpl w:val="669B1E50"/>
    <w:lvl w:ilvl="0" w:tentative="0">
      <w:start w:val="1"/>
      <w:numFmt w:val="decimal"/>
      <w:pStyle w:val="2"/>
      <w:lvlText w:val="%1"/>
      <w:lvlJc w:val="left"/>
      <w:pPr>
        <w:tabs>
          <w:tab w:val="left" w:pos="420"/>
        </w:tabs>
        <w:ind w:left="420" w:firstLine="0"/>
      </w:pPr>
      <w:rPr>
        <w:rFonts w:hint="eastAsia"/>
      </w:rPr>
    </w:lvl>
    <w:lvl w:ilvl="1" w:tentative="0">
      <w:start w:val="1"/>
      <w:numFmt w:val="decimal"/>
      <w:pStyle w:val="3"/>
      <w:lvlText w:val="%1.%2"/>
      <w:lvlJc w:val="left"/>
      <w:pPr>
        <w:tabs>
          <w:tab w:val="left" w:pos="996"/>
        </w:tabs>
        <w:ind w:left="996" w:hanging="576"/>
      </w:pPr>
      <w:rPr>
        <w:rFonts w:hint="eastAsia"/>
      </w:rPr>
    </w:lvl>
    <w:lvl w:ilvl="2" w:tentative="0">
      <w:start w:val="1"/>
      <w:numFmt w:val="decimal"/>
      <w:pStyle w:val="4"/>
      <w:lvlText w:val="%1.%2.%3"/>
      <w:lvlJc w:val="left"/>
      <w:pPr>
        <w:tabs>
          <w:tab w:val="left" w:pos="1140"/>
        </w:tabs>
        <w:ind w:left="1140" w:hanging="720"/>
      </w:pPr>
      <w:rPr>
        <w:rFonts w:hint="eastAsia"/>
      </w:rPr>
    </w:lvl>
    <w:lvl w:ilvl="3" w:tentative="0">
      <w:start w:val="1"/>
      <w:numFmt w:val="decimal"/>
      <w:pStyle w:val="5"/>
      <w:lvlText w:val="%1.%2.%3.%4"/>
      <w:lvlJc w:val="left"/>
      <w:pPr>
        <w:tabs>
          <w:tab w:val="left" w:pos="1284"/>
        </w:tabs>
        <w:ind w:left="1284" w:hanging="864"/>
      </w:pPr>
      <w:rPr>
        <w:rFonts w:hint="eastAsia"/>
      </w:rPr>
    </w:lvl>
    <w:lvl w:ilvl="4" w:tentative="0">
      <w:start w:val="1"/>
      <w:numFmt w:val="decimal"/>
      <w:pStyle w:val="6"/>
      <w:lvlText w:val="%1.%2.%3.%4.%5"/>
      <w:lvlJc w:val="left"/>
      <w:pPr>
        <w:tabs>
          <w:tab w:val="left" w:pos="1428"/>
        </w:tabs>
        <w:ind w:left="1428" w:hanging="1008"/>
      </w:pPr>
      <w:rPr>
        <w:rFonts w:hint="eastAsia"/>
      </w:rPr>
    </w:lvl>
    <w:lvl w:ilvl="5" w:tentative="0">
      <w:start w:val="1"/>
      <w:numFmt w:val="decimal"/>
      <w:pStyle w:val="7"/>
      <w:lvlText w:val="%1.%2.%3.%4.%5.%6"/>
      <w:lvlJc w:val="left"/>
      <w:pPr>
        <w:tabs>
          <w:tab w:val="left" w:pos="1572"/>
        </w:tabs>
        <w:ind w:left="1572" w:hanging="1152"/>
      </w:pPr>
      <w:rPr>
        <w:rFonts w:hint="eastAsia"/>
      </w:rPr>
    </w:lvl>
    <w:lvl w:ilvl="6" w:tentative="0">
      <w:start w:val="1"/>
      <w:numFmt w:val="decimal"/>
      <w:pStyle w:val="8"/>
      <w:lvlText w:val="%1.%2.%3.%4.%5.%6.%7"/>
      <w:lvlJc w:val="left"/>
      <w:pPr>
        <w:tabs>
          <w:tab w:val="left" w:pos="1716"/>
        </w:tabs>
        <w:ind w:left="1716" w:hanging="1296"/>
      </w:pPr>
      <w:rPr>
        <w:rFonts w:hint="eastAsia"/>
      </w:rPr>
    </w:lvl>
    <w:lvl w:ilvl="7" w:tentative="0">
      <w:start w:val="1"/>
      <w:numFmt w:val="decimal"/>
      <w:pStyle w:val="9"/>
      <w:lvlText w:val="%1.%2.%3.%4.%5.%6.%7.%8"/>
      <w:lvlJc w:val="left"/>
      <w:pPr>
        <w:tabs>
          <w:tab w:val="left" w:pos="1860"/>
        </w:tabs>
        <w:ind w:left="1860" w:hanging="1440"/>
      </w:pPr>
      <w:rPr>
        <w:rFonts w:hint="eastAsia"/>
      </w:rPr>
    </w:lvl>
    <w:lvl w:ilvl="8" w:tentative="0">
      <w:start w:val="1"/>
      <w:numFmt w:val="decimal"/>
      <w:pStyle w:val="10"/>
      <w:lvlText w:val="%1.%2.%3.%4.%5.%6.%7.%8.%9"/>
      <w:lvlJc w:val="left"/>
      <w:pPr>
        <w:tabs>
          <w:tab w:val="left" w:pos="2004"/>
        </w:tabs>
        <w:ind w:left="200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8"/>
    <w:rsid w:val="00012BB8"/>
    <w:rsid w:val="00014CDD"/>
    <w:rsid w:val="000246A6"/>
    <w:rsid w:val="00042F33"/>
    <w:rsid w:val="00044A56"/>
    <w:rsid w:val="00051414"/>
    <w:rsid w:val="0005622D"/>
    <w:rsid w:val="00060A5A"/>
    <w:rsid w:val="00063563"/>
    <w:rsid w:val="0006453C"/>
    <w:rsid w:val="00065293"/>
    <w:rsid w:val="00065658"/>
    <w:rsid w:val="00065E81"/>
    <w:rsid w:val="00070A1C"/>
    <w:rsid w:val="000779F3"/>
    <w:rsid w:val="000833E8"/>
    <w:rsid w:val="00095577"/>
    <w:rsid w:val="00096762"/>
    <w:rsid w:val="00097E6C"/>
    <w:rsid w:val="000A5661"/>
    <w:rsid w:val="000A5B3C"/>
    <w:rsid w:val="000A6D66"/>
    <w:rsid w:val="000B0B58"/>
    <w:rsid w:val="000B2757"/>
    <w:rsid w:val="000C2F2A"/>
    <w:rsid w:val="000C630E"/>
    <w:rsid w:val="000D2F56"/>
    <w:rsid w:val="000D2FF7"/>
    <w:rsid w:val="000D3006"/>
    <w:rsid w:val="000D50EB"/>
    <w:rsid w:val="000D7CA2"/>
    <w:rsid w:val="000E137A"/>
    <w:rsid w:val="000E557C"/>
    <w:rsid w:val="000F48AD"/>
    <w:rsid w:val="00113625"/>
    <w:rsid w:val="00113749"/>
    <w:rsid w:val="00120A65"/>
    <w:rsid w:val="001254E9"/>
    <w:rsid w:val="00140D62"/>
    <w:rsid w:val="00141077"/>
    <w:rsid w:val="001507C5"/>
    <w:rsid w:val="00154EFA"/>
    <w:rsid w:val="001557A0"/>
    <w:rsid w:val="00166A7E"/>
    <w:rsid w:val="001701F4"/>
    <w:rsid w:val="00176F1B"/>
    <w:rsid w:val="001972AD"/>
    <w:rsid w:val="001A699D"/>
    <w:rsid w:val="001A7798"/>
    <w:rsid w:val="001B26AE"/>
    <w:rsid w:val="001B3069"/>
    <w:rsid w:val="001C0C43"/>
    <w:rsid w:val="001C249D"/>
    <w:rsid w:val="001C443A"/>
    <w:rsid w:val="001D32D6"/>
    <w:rsid w:val="001D533B"/>
    <w:rsid w:val="001F0911"/>
    <w:rsid w:val="001F293D"/>
    <w:rsid w:val="001F2B87"/>
    <w:rsid w:val="001F38F6"/>
    <w:rsid w:val="001F3D9B"/>
    <w:rsid w:val="00200C7B"/>
    <w:rsid w:val="00200D89"/>
    <w:rsid w:val="00206966"/>
    <w:rsid w:val="00222C9F"/>
    <w:rsid w:val="002303DD"/>
    <w:rsid w:val="00230E89"/>
    <w:rsid w:val="0024206A"/>
    <w:rsid w:val="00243CA5"/>
    <w:rsid w:val="002459F0"/>
    <w:rsid w:val="002521FF"/>
    <w:rsid w:val="00257C6C"/>
    <w:rsid w:val="002633E2"/>
    <w:rsid w:val="0027715E"/>
    <w:rsid w:val="00281C96"/>
    <w:rsid w:val="00287949"/>
    <w:rsid w:val="00287A89"/>
    <w:rsid w:val="00295D27"/>
    <w:rsid w:val="00297FC7"/>
    <w:rsid w:val="002A2932"/>
    <w:rsid w:val="002C0E8C"/>
    <w:rsid w:val="002C216B"/>
    <w:rsid w:val="002D3861"/>
    <w:rsid w:val="002D4BEE"/>
    <w:rsid w:val="002E51DD"/>
    <w:rsid w:val="002E67DF"/>
    <w:rsid w:val="002F500C"/>
    <w:rsid w:val="002F70E6"/>
    <w:rsid w:val="002F7409"/>
    <w:rsid w:val="003010CC"/>
    <w:rsid w:val="003115F5"/>
    <w:rsid w:val="00312D68"/>
    <w:rsid w:val="0031501C"/>
    <w:rsid w:val="00320B77"/>
    <w:rsid w:val="003222B6"/>
    <w:rsid w:val="003312BC"/>
    <w:rsid w:val="00331D28"/>
    <w:rsid w:val="00333A90"/>
    <w:rsid w:val="00334D4E"/>
    <w:rsid w:val="003354CC"/>
    <w:rsid w:val="00343F9D"/>
    <w:rsid w:val="00345E38"/>
    <w:rsid w:val="00347ED9"/>
    <w:rsid w:val="00353501"/>
    <w:rsid w:val="00354BCA"/>
    <w:rsid w:val="003571B0"/>
    <w:rsid w:val="003633AA"/>
    <w:rsid w:val="00370B1F"/>
    <w:rsid w:val="00371914"/>
    <w:rsid w:val="00373F6D"/>
    <w:rsid w:val="00386E4A"/>
    <w:rsid w:val="00391420"/>
    <w:rsid w:val="003976FD"/>
    <w:rsid w:val="003A1C77"/>
    <w:rsid w:val="003A44A5"/>
    <w:rsid w:val="003A7442"/>
    <w:rsid w:val="003B0467"/>
    <w:rsid w:val="003C1AFD"/>
    <w:rsid w:val="003C359A"/>
    <w:rsid w:val="003C6373"/>
    <w:rsid w:val="003D2C6D"/>
    <w:rsid w:val="003D60E3"/>
    <w:rsid w:val="003E5222"/>
    <w:rsid w:val="003E5F59"/>
    <w:rsid w:val="003E645E"/>
    <w:rsid w:val="003F21CE"/>
    <w:rsid w:val="003F4FEB"/>
    <w:rsid w:val="003F6DC8"/>
    <w:rsid w:val="003F6DFC"/>
    <w:rsid w:val="003F72BD"/>
    <w:rsid w:val="00401C2C"/>
    <w:rsid w:val="00414F3A"/>
    <w:rsid w:val="004152C9"/>
    <w:rsid w:val="00415835"/>
    <w:rsid w:val="00420984"/>
    <w:rsid w:val="0042542E"/>
    <w:rsid w:val="00427BBD"/>
    <w:rsid w:val="00427D4C"/>
    <w:rsid w:val="00437D0D"/>
    <w:rsid w:val="00442669"/>
    <w:rsid w:val="004477F9"/>
    <w:rsid w:val="00465632"/>
    <w:rsid w:val="00466685"/>
    <w:rsid w:val="00474CC5"/>
    <w:rsid w:val="00495D4C"/>
    <w:rsid w:val="004A740A"/>
    <w:rsid w:val="004B6A01"/>
    <w:rsid w:val="004C24C6"/>
    <w:rsid w:val="004C6582"/>
    <w:rsid w:val="004D47A0"/>
    <w:rsid w:val="004D59D5"/>
    <w:rsid w:val="004D7AD4"/>
    <w:rsid w:val="004E1538"/>
    <w:rsid w:val="004F42FC"/>
    <w:rsid w:val="00501A43"/>
    <w:rsid w:val="00503AAF"/>
    <w:rsid w:val="0050591F"/>
    <w:rsid w:val="00507714"/>
    <w:rsid w:val="00510BF1"/>
    <w:rsid w:val="00513182"/>
    <w:rsid w:val="00535029"/>
    <w:rsid w:val="005367CD"/>
    <w:rsid w:val="00540AC2"/>
    <w:rsid w:val="00541BD3"/>
    <w:rsid w:val="005423D9"/>
    <w:rsid w:val="00545433"/>
    <w:rsid w:val="00550385"/>
    <w:rsid w:val="00552792"/>
    <w:rsid w:val="005610ED"/>
    <w:rsid w:val="005661F9"/>
    <w:rsid w:val="005668AA"/>
    <w:rsid w:val="005725AE"/>
    <w:rsid w:val="005743B5"/>
    <w:rsid w:val="00577560"/>
    <w:rsid w:val="00581B19"/>
    <w:rsid w:val="00584A34"/>
    <w:rsid w:val="00591790"/>
    <w:rsid w:val="005A3A5C"/>
    <w:rsid w:val="005B67D8"/>
    <w:rsid w:val="005B68A2"/>
    <w:rsid w:val="005C4EB5"/>
    <w:rsid w:val="005D555E"/>
    <w:rsid w:val="005F3DCB"/>
    <w:rsid w:val="0060669D"/>
    <w:rsid w:val="00611DB2"/>
    <w:rsid w:val="00612C90"/>
    <w:rsid w:val="006142A9"/>
    <w:rsid w:val="00615385"/>
    <w:rsid w:val="00615421"/>
    <w:rsid w:val="0062217A"/>
    <w:rsid w:val="00630D75"/>
    <w:rsid w:val="00633B4C"/>
    <w:rsid w:val="0064489D"/>
    <w:rsid w:val="006451C3"/>
    <w:rsid w:val="00647879"/>
    <w:rsid w:val="0065089B"/>
    <w:rsid w:val="00652062"/>
    <w:rsid w:val="00654C52"/>
    <w:rsid w:val="00662931"/>
    <w:rsid w:val="006652C8"/>
    <w:rsid w:val="00673AA3"/>
    <w:rsid w:val="006753CD"/>
    <w:rsid w:val="006767F6"/>
    <w:rsid w:val="00680280"/>
    <w:rsid w:val="0068455A"/>
    <w:rsid w:val="006862BC"/>
    <w:rsid w:val="00687929"/>
    <w:rsid w:val="00695ACC"/>
    <w:rsid w:val="006A21A7"/>
    <w:rsid w:val="006A2952"/>
    <w:rsid w:val="006A4C13"/>
    <w:rsid w:val="006A5836"/>
    <w:rsid w:val="006A6DAB"/>
    <w:rsid w:val="006A7792"/>
    <w:rsid w:val="006B331D"/>
    <w:rsid w:val="006B74BB"/>
    <w:rsid w:val="006C1F9D"/>
    <w:rsid w:val="006D3173"/>
    <w:rsid w:val="006E1449"/>
    <w:rsid w:val="006E44EE"/>
    <w:rsid w:val="006E49D6"/>
    <w:rsid w:val="006E4C4C"/>
    <w:rsid w:val="006F3DF7"/>
    <w:rsid w:val="006F5ED5"/>
    <w:rsid w:val="00704ECA"/>
    <w:rsid w:val="00714319"/>
    <w:rsid w:val="00714459"/>
    <w:rsid w:val="0071692D"/>
    <w:rsid w:val="007214AF"/>
    <w:rsid w:val="00727D4F"/>
    <w:rsid w:val="007308C6"/>
    <w:rsid w:val="00733D08"/>
    <w:rsid w:val="007426D5"/>
    <w:rsid w:val="00742918"/>
    <w:rsid w:val="00742A8A"/>
    <w:rsid w:val="00747615"/>
    <w:rsid w:val="00747BB3"/>
    <w:rsid w:val="0075519D"/>
    <w:rsid w:val="00767645"/>
    <w:rsid w:val="00773BF7"/>
    <w:rsid w:val="00774194"/>
    <w:rsid w:val="00776098"/>
    <w:rsid w:val="00776E5E"/>
    <w:rsid w:val="00783DD1"/>
    <w:rsid w:val="00793223"/>
    <w:rsid w:val="00793F16"/>
    <w:rsid w:val="007948A9"/>
    <w:rsid w:val="007B13BD"/>
    <w:rsid w:val="007B5B37"/>
    <w:rsid w:val="007C70FA"/>
    <w:rsid w:val="007D4300"/>
    <w:rsid w:val="007D4BB2"/>
    <w:rsid w:val="007E0C21"/>
    <w:rsid w:val="007E2852"/>
    <w:rsid w:val="007E7334"/>
    <w:rsid w:val="007F5A19"/>
    <w:rsid w:val="0081278F"/>
    <w:rsid w:val="00814082"/>
    <w:rsid w:val="00820F82"/>
    <w:rsid w:val="00824DC7"/>
    <w:rsid w:val="00824ED3"/>
    <w:rsid w:val="0083124B"/>
    <w:rsid w:val="0083665D"/>
    <w:rsid w:val="00845D4D"/>
    <w:rsid w:val="00847FAA"/>
    <w:rsid w:val="00862CE0"/>
    <w:rsid w:val="008634C2"/>
    <w:rsid w:val="0086782E"/>
    <w:rsid w:val="008813FD"/>
    <w:rsid w:val="0088454D"/>
    <w:rsid w:val="0089593B"/>
    <w:rsid w:val="008A08AF"/>
    <w:rsid w:val="008A39C6"/>
    <w:rsid w:val="008B654F"/>
    <w:rsid w:val="008C6D91"/>
    <w:rsid w:val="008D24CB"/>
    <w:rsid w:val="008E21D3"/>
    <w:rsid w:val="008F0C40"/>
    <w:rsid w:val="009123A1"/>
    <w:rsid w:val="00913E68"/>
    <w:rsid w:val="00914A6D"/>
    <w:rsid w:val="00923F03"/>
    <w:rsid w:val="00934C2C"/>
    <w:rsid w:val="00941074"/>
    <w:rsid w:val="00943EFA"/>
    <w:rsid w:val="0094406F"/>
    <w:rsid w:val="0094584C"/>
    <w:rsid w:val="00947280"/>
    <w:rsid w:val="00953719"/>
    <w:rsid w:val="00955FF6"/>
    <w:rsid w:val="00960CF8"/>
    <w:rsid w:val="00970567"/>
    <w:rsid w:val="00971576"/>
    <w:rsid w:val="009771CC"/>
    <w:rsid w:val="009918F9"/>
    <w:rsid w:val="00995F93"/>
    <w:rsid w:val="009A32D7"/>
    <w:rsid w:val="009A6FD8"/>
    <w:rsid w:val="009B0FC6"/>
    <w:rsid w:val="009B423F"/>
    <w:rsid w:val="009C3261"/>
    <w:rsid w:val="009D75CA"/>
    <w:rsid w:val="009E633A"/>
    <w:rsid w:val="009F0688"/>
    <w:rsid w:val="009F0D80"/>
    <w:rsid w:val="00A040BB"/>
    <w:rsid w:val="00A06CA7"/>
    <w:rsid w:val="00A119B8"/>
    <w:rsid w:val="00A16FC2"/>
    <w:rsid w:val="00A2028E"/>
    <w:rsid w:val="00A23F70"/>
    <w:rsid w:val="00A30710"/>
    <w:rsid w:val="00A35D71"/>
    <w:rsid w:val="00A452E3"/>
    <w:rsid w:val="00A5679E"/>
    <w:rsid w:val="00A75384"/>
    <w:rsid w:val="00A84B77"/>
    <w:rsid w:val="00A90B40"/>
    <w:rsid w:val="00A962E7"/>
    <w:rsid w:val="00AA32D8"/>
    <w:rsid w:val="00AA42C7"/>
    <w:rsid w:val="00AA43C7"/>
    <w:rsid w:val="00AB569D"/>
    <w:rsid w:val="00AB70D0"/>
    <w:rsid w:val="00AE1DDB"/>
    <w:rsid w:val="00AE382E"/>
    <w:rsid w:val="00B00611"/>
    <w:rsid w:val="00B020CD"/>
    <w:rsid w:val="00B03F00"/>
    <w:rsid w:val="00B07B05"/>
    <w:rsid w:val="00B1331F"/>
    <w:rsid w:val="00B2516B"/>
    <w:rsid w:val="00B30FCC"/>
    <w:rsid w:val="00B34B5D"/>
    <w:rsid w:val="00B36D88"/>
    <w:rsid w:val="00B36DBD"/>
    <w:rsid w:val="00B53F89"/>
    <w:rsid w:val="00B548C9"/>
    <w:rsid w:val="00B62F94"/>
    <w:rsid w:val="00B7146E"/>
    <w:rsid w:val="00B76722"/>
    <w:rsid w:val="00B87362"/>
    <w:rsid w:val="00B91C47"/>
    <w:rsid w:val="00B9352E"/>
    <w:rsid w:val="00B9424D"/>
    <w:rsid w:val="00B95921"/>
    <w:rsid w:val="00BB6643"/>
    <w:rsid w:val="00BB6FC9"/>
    <w:rsid w:val="00BD724F"/>
    <w:rsid w:val="00BE08CF"/>
    <w:rsid w:val="00BE6D8A"/>
    <w:rsid w:val="00C029DA"/>
    <w:rsid w:val="00C045B1"/>
    <w:rsid w:val="00C0694B"/>
    <w:rsid w:val="00C073A0"/>
    <w:rsid w:val="00C07F91"/>
    <w:rsid w:val="00C14FCA"/>
    <w:rsid w:val="00C23145"/>
    <w:rsid w:val="00C24718"/>
    <w:rsid w:val="00C25646"/>
    <w:rsid w:val="00C36D41"/>
    <w:rsid w:val="00C412B1"/>
    <w:rsid w:val="00C4744C"/>
    <w:rsid w:val="00C50272"/>
    <w:rsid w:val="00C510DC"/>
    <w:rsid w:val="00C512E6"/>
    <w:rsid w:val="00C70D68"/>
    <w:rsid w:val="00C75E15"/>
    <w:rsid w:val="00C76BD4"/>
    <w:rsid w:val="00C817AB"/>
    <w:rsid w:val="00C82841"/>
    <w:rsid w:val="00C85AC0"/>
    <w:rsid w:val="00C8633E"/>
    <w:rsid w:val="00CA5F1B"/>
    <w:rsid w:val="00CB0661"/>
    <w:rsid w:val="00CC2E9B"/>
    <w:rsid w:val="00CD7BB5"/>
    <w:rsid w:val="00CE35AA"/>
    <w:rsid w:val="00CE698F"/>
    <w:rsid w:val="00CF0BDD"/>
    <w:rsid w:val="00D03645"/>
    <w:rsid w:val="00D11BC4"/>
    <w:rsid w:val="00D15A86"/>
    <w:rsid w:val="00D36966"/>
    <w:rsid w:val="00D36C3B"/>
    <w:rsid w:val="00D41297"/>
    <w:rsid w:val="00D62E1D"/>
    <w:rsid w:val="00D71978"/>
    <w:rsid w:val="00D72BAC"/>
    <w:rsid w:val="00D7323C"/>
    <w:rsid w:val="00D843E8"/>
    <w:rsid w:val="00D86980"/>
    <w:rsid w:val="00D9140A"/>
    <w:rsid w:val="00D91C3F"/>
    <w:rsid w:val="00D93544"/>
    <w:rsid w:val="00D940F0"/>
    <w:rsid w:val="00DB2CF9"/>
    <w:rsid w:val="00DB4586"/>
    <w:rsid w:val="00DB5C4D"/>
    <w:rsid w:val="00DB67FE"/>
    <w:rsid w:val="00DD2137"/>
    <w:rsid w:val="00DD3BA0"/>
    <w:rsid w:val="00DE261D"/>
    <w:rsid w:val="00DE4361"/>
    <w:rsid w:val="00DE51F0"/>
    <w:rsid w:val="00DF1909"/>
    <w:rsid w:val="00DF52B8"/>
    <w:rsid w:val="00E05D25"/>
    <w:rsid w:val="00E110F4"/>
    <w:rsid w:val="00E1166E"/>
    <w:rsid w:val="00E1372D"/>
    <w:rsid w:val="00E1543B"/>
    <w:rsid w:val="00E2465E"/>
    <w:rsid w:val="00E451B8"/>
    <w:rsid w:val="00E55A3D"/>
    <w:rsid w:val="00E624C1"/>
    <w:rsid w:val="00E63A01"/>
    <w:rsid w:val="00E71833"/>
    <w:rsid w:val="00E85E03"/>
    <w:rsid w:val="00E8771D"/>
    <w:rsid w:val="00E9582C"/>
    <w:rsid w:val="00EA2B99"/>
    <w:rsid w:val="00EA3AE7"/>
    <w:rsid w:val="00EA5D3F"/>
    <w:rsid w:val="00EB07B4"/>
    <w:rsid w:val="00EB2EDF"/>
    <w:rsid w:val="00EB4E80"/>
    <w:rsid w:val="00EB51DD"/>
    <w:rsid w:val="00EC102E"/>
    <w:rsid w:val="00ED02F0"/>
    <w:rsid w:val="00ED19E9"/>
    <w:rsid w:val="00EE5D8A"/>
    <w:rsid w:val="00EE6509"/>
    <w:rsid w:val="00EE7597"/>
    <w:rsid w:val="00EF0CDF"/>
    <w:rsid w:val="00EF7054"/>
    <w:rsid w:val="00F0183E"/>
    <w:rsid w:val="00F14808"/>
    <w:rsid w:val="00F14933"/>
    <w:rsid w:val="00F14A23"/>
    <w:rsid w:val="00F217BF"/>
    <w:rsid w:val="00F2543B"/>
    <w:rsid w:val="00F27C88"/>
    <w:rsid w:val="00F43D81"/>
    <w:rsid w:val="00F63E19"/>
    <w:rsid w:val="00F6640A"/>
    <w:rsid w:val="00F771DB"/>
    <w:rsid w:val="00F80A74"/>
    <w:rsid w:val="00F913C6"/>
    <w:rsid w:val="00F945CE"/>
    <w:rsid w:val="00F94E4F"/>
    <w:rsid w:val="00FA7F8B"/>
    <w:rsid w:val="00FB0244"/>
    <w:rsid w:val="00FB0511"/>
    <w:rsid w:val="00FB64C3"/>
    <w:rsid w:val="00FC28BB"/>
    <w:rsid w:val="00FC30A3"/>
    <w:rsid w:val="00FC54B4"/>
    <w:rsid w:val="00FC5E73"/>
    <w:rsid w:val="00FD4300"/>
    <w:rsid w:val="00FE4DCE"/>
    <w:rsid w:val="01472A90"/>
    <w:rsid w:val="021B515F"/>
    <w:rsid w:val="09370250"/>
    <w:rsid w:val="0EF247B0"/>
    <w:rsid w:val="0FEB7186"/>
    <w:rsid w:val="13F35E22"/>
    <w:rsid w:val="14ED6D4C"/>
    <w:rsid w:val="19862860"/>
    <w:rsid w:val="257F09AA"/>
    <w:rsid w:val="29C00EFE"/>
    <w:rsid w:val="2F3D699A"/>
    <w:rsid w:val="30B27B66"/>
    <w:rsid w:val="32E266F2"/>
    <w:rsid w:val="369E63FB"/>
    <w:rsid w:val="403531E3"/>
    <w:rsid w:val="4FD64B47"/>
    <w:rsid w:val="59336513"/>
    <w:rsid w:val="662152B1"/>
    <w:rsid w:val="75D854BE"/>
    <w:rsid w:val="7834626F"/>
    <w:rsid w:val="784A0618"/>
    <w:rsid w:val="79E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pageBreakBefore/>
      <w:numPr>
        <w:ilvl w:val="0"/>
        <w:numId w:val="1"/>
      </w:numPr>
      <w:spacing w:before="340" w:after="330"/>
      <w:outlineLvl w:val="0"/>
    </w:pPr>
    <w:rPr>
      <w:b/>
      <w:bCs/>
      <w:kern w:val="44"/>
      <w:sz w:val="44"/>
      <w:szCs w:val="44"/>
      <w:lang w:val="zh-CN"/>
    </w:rPr>
  </w:style>
  <w:style w:type="paragraph" w:styleId="3">
    <w:name w:val="heading 2"/>
    <w:basedOn w:val="1"/>
    <w:next w:val="1"/>
    <w:link w:val="26"/>
    <w:qFormat/>
    <w:uiPriority w:val="0"/>
    <w:pPr>
      <w:keepNext/>
      <w:keepLines/>
      <w:numPr>
        <w:ilvl w:val="1"/>
        <w:numId w:val="1"/>
      </w:numPr>
      <w:spacing w:before="260" w:after="260" w:line="415" w:lineRule="auto"/>
      <w:outlineLvl w:val="1"/>
    </w:pPr>
    <w:rPr>
      <w:rFonts w:ascii="Arial" w:hAnsi="Arial" w:eastAsia="黑体"/>
      <w:b/>
      <w:bCs/>
      <w:sz w:val="32"/>
      <w:szCs w:val="32"/>
      <w:lang w:val="zh-CN"/>
    </w:rPr>
  </w:style>
  <w:style w:type="paragraph" w:styleId="4">
    <w:name w:val="heading 3"/>
    <w:basedOn w:val="1"/>
    <w:next w:val="1"/>
    <w:link w:val="27"/>
    <w:qFormat/>
    <w:uiPriority w:val="0"/>
    <w:pPr>
      <w:keepNext/>
      <w:keepLines/>
      <w:numPr>
        <w:ilvl w:val="2"/>
        <w:numId w:val="1"/>
      </w:numPr>
      <w:spacing w:before="156" w:after="156" w:line="360" w:lineRule="auto"/>
      <w:outlineLvl w:val="2"/>
    </w:pPr>
    <w:rPr>
      <w:b/>
      <w:bCs/>
      <w:color w:val="000000"/>
      <w:sz w:val="32"/>
      <w:lang w:val="zh-CN"/>
    </w:rPr>
  </w:style>
  <w:style w:type="paragraph" w:styleId="5">
    <w:name w:val="heading 4"/>
    <w:basedOn w:val="1"/>
    <w:next w:val="1"/>
    <w:link w:val="35"/>
    <w:qFormat/>
    <w:uiPriority w:val="0"/>
    <w:pPr>
      <w:keepNext/>
      <w:keepLines/>
      <w:numPr>
        <w:ilvl w:val="3"/>
        <w:numId w:val="1"/>
      </w:numPr>
      <w:tabs>
        <w:tab w:val="left" w:pos="720"/>
      </w:tabs>
      <w:spacing w:before="156" w:after="156" w:line="360" w:lineRule="auto"/>
      <w:jc w:val="left"/>
      <w:outlineLvl w:val="3"/>
    </w:pPr>
    <w:rPr>
      <w:rFonts w:ascii="Arial" w:hAnsi="Arial" w:eastAsia="黑体"/>
      <w:b/>
      <w:bCs/>
      <w:sz w:val="28"/>
      <w:szCs w:val="28"/>
      <w:lang w:val="zh-CN"/>
    </w:rPr>
  </w:style>
  <w:style w:type="paragraph" w:styleId="6">
    <w:name w:val="heading 5"/>
    <w:basedOn w:val="1"/>
    <w:next w:val="1"/>
    <w:link w:val="32"/>
    <w:qFormat/>
    <w:uiPriority w:val="0"/>
    <w:pPr>
      <w:keepNext/>
      <w:keepLines/>
      <w:numPr>
        <w:ilvl w:val="4"/>
        <w:numId w:val="1"/>
      </w:numPr>
      <w:spacing w:before="280" w:after="290" w:line="376" w:lineRule="auto"/>
      <w:outlineLvl w:val="4"/>
    </w:pPr>
    <w:rPr>
      <w:b/>
      <w:bCs/>
      <w:kern w:val="0"/>
      <w:sz w:val="28"/>
      <w:szCs w:val="28"/>
      <w:lang w:val="zh-CN"/>
    </w:rPr>
  </w:style>
  <w:style w:type="paragraph" w:styleId="7">
    <w:name w:val="heading 6"/>
    <w:basedOn w:val="1"/>
    <w:next w:val="1"/>
    <w:link w:val="37"/>
    <w:qFormat/>
    <w:uiPriority w:val="0"/>
    <w:pPr>
      <w:keepNext/>
      <w:keepLines/>
      <w:numPr>
        <w:ilvl w:val="5"/>
        <w:numId w:val="1"/>
      </w:numPr>
      <w:tabs>
        <w:tab w:val="left" w:pos="1440"/>
      </w:tabs>
      <w:adjustRightInd w:val="0"/>
      <w:spacing w:before="240" w:after="64" w:line="319" w:lineRule="auto"/>
      <w:jc w:val="left"/>
      <w:outlineLvl w:val="5"/>
    </w:pPr>
    <w:rPr>
      <w:rFonts w:ascii="Arial" w:hAnsi="Arial" w:eastAsia="黑体"/>
      <w:b/>
      <w:bCs/>
      <w:sz w:val="24"/>
      <w:lang w:val="zh-CN"/>
    </w:rPr>
  </w:style>
  <w:style w:type="paragraph" w:styleId="8">
    <w:name w:val="heading 7"/>
    <w:basedOn w:val="1"/>
    <w:next w:val="1"/>
    <w:link w:val="33"/>
    <w:qFormat/>
    <w:uiPriority w:val="0"/>
    <w:pPr>
      <w:keepNext/>
      <w:keepLines/>
      <w:numPr>
        <w:ilvl w:val="6"/>
        <w:numId w:val="1"/>
      </w:numPr>
      <w:spacing w:before="240" w:after="64" w:line="320" w:lineRule="auto"/>
      <w:outlineLvl w:val="6"/>
    </w:pPr>
    <w:rPr>
      <w:b/>
      <w:bCs/>
      <w:sz w:val="24"/>
      <w:lang w:val="zh-CN"/>
    </w:rPr>
  </w:style>
  <w:style w:type="paragraph" w:styleId="9">
    <w:name w:val="heading 8"/>
    <w:basedOn w:val="1"/>
    <w:next w:val="1"/>
    <w:link w:val="34"/>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0">
    <w:name w:val="heading 9"/>
    <w:basedOn w:val="1"/>
    <w:next w:val="1"/>
    <w:link w:val="36"/>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19">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9"/>
    <w:uiPriority w:val="0"/>
    <w:rPr>
      <w:rFonts w:ascii="Calibri" w:hAnsi="Calibri" w:eastAsia="宋体"/>
      <w:b/>
      <w:bCs/>
      <w:szCs w:val="24"/>
      <w:lang w:val="en-US"/>
    </w:rPr>
  </w:style>
  <w:style w:type="paragraph" w:styleId="12">
    <w:name w:val="annotation text"/>
    <w:basedOn w:val="1"/>
    <w:link w:val="24"/>
    <w:unhideWhenUsed/>
    <w:uiPriority w:val="99"/>
    <w:pPr>
      <w:jc w:val="left"/>
    </w:pPr>
    <w:rPr>
      <w:rFonts w:ascii="仿宋" w:hAnsi="仿宋" w:eastAsia="仿宋"/>
      <w:szCs w:val="21"/>
      <w:lang w:val="zh-CN"/>
    </w:rPr>
  </w:style>
  <w:style w:type="paragraph" w:styleId="13">
    <w:name w:val="Normal Indent"/>
    <w:basedOn w:val="1"/>
    <w:unhideWhenUsed/>
    <w:qFormat/>
    <w:uiPriority w:val="99"/>
    <w:pPr>
      <w:ind w:firstLine="420" w:firstLineChars="200"/>
    </w:pPr>
  </w:style>
  <w:style w:type="paragraph" w:styleId="14">
    <w:name w:val="Document Map"/>
    <w:basedOn w:val="1"/>
    <w:link w:val="30"/>
    <w:uiPriority w:val="0"/>
    <w:rPr>
      <w:rFonts w:ascii="宋体"/>
      <w:sz w:val="24"/>
      <w:lang w:val="zh-CN"/>
    </w:rPr>
  </w:style>
  <w:style w:type="paragraph" w:styleId="15">
    <w:name w:val="Balloon Text"/>
    <w:basedOn w:val="1"/>
    <w:link w:val="50"/>
    <w:uiPriority w:val="0"/>
    <w:rPr>
      <w:sz w:val="18"/>
      <w:szCs w:val="18"/>
    </w:rPr>
  </w:style>
  <w:style w:type="paragraph" w:styleId="16">
    <w:name w:val="footer"/>
    <w:basedOn w:val="1"/>
    <w:link w:val="29"/>
    <w:uiPriority w:val="0"/>
    <w:pPr>
      <w:tabs>
        <w:tab w:val="center" w:pos="4153"/>
        <w:tab w:val="right" w:pos="8306"/>
      </w:tabs>
      <w:snapToGrid w:val="0"/>
      <w:jc w:val="left"/>
    </w:pPr>
    <w:rPr>
      <w:sz w:val="18"/>
      <w:szCs w:val="18"/>
      <w:lang w:val="zh-CN"/>
    </w:rPr>
  </w:style>
  <w:style w:type="paragraph" w:styleId="17">
    <w:name w:val="header"/>
    <w:basedOn w:val="1"/>
    <w:link w:val="28"/>
    <w:uiPriority w:val="0"/>
    <w:pPr>
      <w:pBdr>
        <w:bottom w:val="single" w:color="auto" w:sz="6" w:space="1"/>
      </w:pBdr>
      <w:tabs>
        <w:tab w:val="center" w:pos="4153"/>
        <w:tab w:val="right" w:pos="8306"/>
      </w:tabs>
      <w:snapToGrid w:val="0"/>
      <w:jc w:val="center"/>
    </w:pPr>
    <w:rPr>
      <w:sz w:val="18"/>
      <w:szCs w:val="18"/>
      <w:lang w:val="zh-CN"/>
    </w:rPr>
  </w:style>
  <w:style w:type="paragraph" w:styleId="18">
    <w:name w:val="Normal (Web)"/>
    <w:basedOn w:val="1"/>
    <w:uiPriority w:val="0"/>
    <w:pPr>
      <w:widowControl/>
      <w:spacing w:before="100" w:beforeAutospacing="1" w:after="100" w:afterAutospacing="1"/>
      <w:jc w:val="left"/>
    </w:pPr>
    <w:rPr>
      <w:rFonts w:ascii="宋体" w:hAnsi="宋体" w:cs="宋体"/>
      <w:kern w:val="0"/>
      <w:sz w:val="24"/>
    </w:rPr>
  </w:style>
  <w:style w:type="character" w:styleId="20">
    <w:name w:val="annotation reference"/>
    <w:basedOn w:val="19"/>
    <w:uiPriority w:val="0"/>
    <w:rPr>
      <w:sz w:val="21"/>
      <w:szCs w:val="21"/>
    </w:rPr>
  </w:style>
  <w:style w:type="table" w:styleId="22">
    <w:name w:val="Table Grid"/>
    <w:basedOn w:val="2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字符"/>
    <w:link w:val="2"/>
    <w:uiPriority w:val="0"/>
    <w:rPr>
      <w:b/>
      <w:bCs/>
      <w:kern w:val="44"/>
      <w:sz w:val="44"/>
      <w:szCs w:val="44"/>
    </w:rPr>
  </w:style>
  <w:style w:type="character" w:customStyle="1" w:styleId="24">
    <w:name w:val="批注文字 字符"/>
    <w:link w:val="12"/>
    <w:uiPriority w:val="99"/>
    <w:rPr>
      <w:rFonts w:ascii="仿宋" w:hAnsi="仿宋" w:eastAsia="仿宋" w:cs="仿宋"/>
      <w:kern w:val="2"/>
      <w:sz w:val="21"/>
      <w:szCs w:val="21"/>
    </w:rPr>
  </w:style>
  <w:style w:type="character" w:customStyle="1" w:styleId="25">
    <w:name w:val="pop_tit1"/>
    <w:uiPriority w:val="0"/>
    <w:rPr>
      <w:rFonts w:hint="eastAsia" w:ascii="宋体" w:hAnsi="宋体" w:eastAsia="宋体"/>
      <w:b/>
      <w:bCs/>
      <w:color w:val="990000"/>
      <w:sz w:val="24"/>
      <w:szCs w:val="24"/>
    </w:rPr>
  </w:style>
  <w:style w:type="character" w:customStyle="1" w:styleId="26">
    <w:name w:val="标题 2 字符"/>
    <w:link w:val="3"/>
    <w:uiPriority w:val="0"/>
    <w:rPr>
      <w:rFonts w:ascii="Arial" w:hAnsi="Arial" w:eastAsia="黑体"/>
      <w:b/>
      <w:bCs/>
      <w:kern w:val="2"/>
      <w:sz w:val="32"/>
      <w:szCs w:val="32"/>
    </w:rPr>
  </w:style>
  <w:style w:type="character" w:customStyle="1" w:styleId="27">
    <w:name w:val="标题 3 字符"/>
    <w:link w:val="4"/>
    <w:uiPriority w:val="0"/>
    <w:rPr>
      <w:b/>
      <w:bCs/>
      <w:color w:val="000000"/>
      <w:kern w:val="2"/>
      <w:sz w:val="32"/>
      <w:szCs w:val="24"/>
    </w:rPr>
  </w:style>
  <w:style w:type="character" w:customStyle="1" w:styleId="28">
    <w:name w:val="页眉 字符"/>
    <w:link w:val="17"/>
    <w:uiPriority w:val="0"/>
    <w:rPr>
      <w:kern w:val="2"/>
      <w:sz w:val="18"/>
      <w:szCs w:val="18"/>
    </w:rPr>
  </w:style>
  <w:style w:type="character" w:customStyle="1" w:styleId="29">
    <w:name w:val="页脚 字符"/>
    <w:link w:val="16"/>
    <w:uiPriority w:val="0"/>
    <w:rPr>
      <w:kern w:val="2"/>
      <w:sz w:val="18"/>
      <w:szCs w:val="18"/>
    </w:rPr>
  </w:style>
  <w:style w:type="character" w:customStyle="1" w:styleId="30">
    <w:name w:val="文档结构图 字符"/>
    <w:link w:val="14"/>
    <w:uiPriority w:val="0"/>
    <w:rPr>
      <w:rFonts w:ascii="宋体"/>
      <w:kern w:val="2"/>
      <w:sz w:val="24"/>
      <w:szCs w:val="24"/>
    </w:rPr>
  </w:style>
  <w:style w:type="character" w:customStyle="1" w:styleId="31">
    <w:name w:val="apple-converted-space"/>
    <w:uiPriority w:val="0"/>
  </w:style>
  <w:style w:type="character" w:customStyle="1" w:styleId="32">
    <w:name w:val="标题 5 字符"/>
    <w:link w:val="6"/>
    <w:uiPriority w:val="0"/>
    <w:rPr>
      <w:b/>
      <w:bCs/>
      <w:sz w:val="28"/>
      <w:szCs w:val="28"/>
    </w:rPr>
  </w:style>
  <w:style w:type="character" w:customStyle="1" w:styleId="33">
    <w:name w:val="标题 7 字符"/>
    <w:link w:val="8"/>
    <w:uiPriority w:val="0"/>
    <w:rPr>
      <w:b/>
      <w:bCs/>
      <w:kern w:val="2"/>
      <w:sz w:val="24"/>
      <w:szCs w:val="24"/>
    </w:rPr>
  </w:style>
  <w:style w:type="character" w:customStyle="1" w:styleId="34">
    <w:name w:val="标题 8 字符"/>
    <w:link w:val="9"/>
    <w:uiPriority w:val="0"/>
    <w:rPr>
      <w:rFonts w:ascii="Arial" w:hAnsi="Arial" w:eastAsia="黑体"/>
      <w:kern w:val="2"/>
      <w:sz w:val="24"/>
      <w:szCs w:val="24"/>
    </w:rPr>
  </w:style>
  <w:style w:type="character" w:customStyle="1" w:styleId="35">
    <w:name w:val="标题 4 字符"/>
    <w:link w:val="5"/>
    <w:uiPriority w:val="0"/>
    <w:rPr>
      <w:rFonts w:ascii="Arial" w:hAnsi="Arial" w:eastAsia="黑体"/>
      <w:b/>
      <w:bCs/>
      <w:kern w:val="2"/>
      <w:sz w:val="28"/>
      <w:szCs w:val="28"/>
    </w:rPr>
  </w:style>
  <w:style w:type="character" w:customStyle="1" w:styleId="36">
    <w:name w:val="标题 9 字符"/>
    <w:link w:val="10"/>
    <w:uiPriority w:val="0"/>
    <w:rPr>
      <w:rFonts w:ascii="Arial" w:hAnsi="Arial" w:eastAsia="黑体"/>
      <w:kern w:val="2"/>
      <w:sz w:val="21"/>
      <w:szCs w:val="21"/>
    </w:rPr>
  </w:style>
  <w:style w:type="character" w:customStyle="1" w:styleId="37">
    <w:name w:val="标题 6 字符"/>
    <w:link w:val="7"/>
    <w:uiPriority w:val="0"/>
    <w:rPr>
      <w:rFonts w:ascii="Arial" w:hAnsi="Arial" w:eastAsia="黑体"/>
      <w:b/>
      <w:bCs/>
      <w:kern w:val="2"/>
      <w:sz w:val="24"/>
      <w:szCs w:val="24"/>
    </w:rPr>
  </w:style>
  <w:style w:type="paragraph" w:styleId="38">
    <w:name w:val="List Paragraph"/>
    <w:basedOn w:val="1"/>
    <w:qFormat/>
    <w:uiPriority w:val="34"/>
    <w:pPr>
      <w:ind w:firstLine="420" w:firstLineChars="200"/>
    </w:pPr>
    <w:rPr>
      <w:rFonts w:ascii="等线" w:hAnsi="等线" w:eastAsia="等线"/>
      <w:szCs w:val="22"/>
    </w:rPr>
  </w:style>
  <w:style w:type="paragraph" w:customStyle="1" w:styleId="39">
    <w:name w:val="中等深浅网格 1 - 强调文字颜色 21"/>
    <w:basedOn w:val="1"/>
    <w:qFormat/>
    <w:uiPriority w:val="34"/>
    <w:pPr>
      <w:ind w:firstLine="420" w:firstLineChars="200"/>
    </w:pPr>
  </w:style>
  <w:style w:type="paragraph" w:customStyle="1" w:styleId="40">
    <w:name w:val="Table Text"/>
    <w:basedOn w:val="1"/>
    <w:uiPriority w:val="0"/>
    <w:pPr>
      <w:widowControl/>
      <w:autoSpaceDE w:val="0"/>
      <w:autoSpaceDN w:val="0"/>
      <w:spacing w:before="60" w:after="60"/>
      <w:jc w:val="left"/>
    </w:pPr>
    <w:rPr>
      <w:kern w:val="0"/>
      <w:szCs w:val="21"/>
    </w:rPr>
  </w:style>
  <w:style w:type="paragraph" w:customStyle="1" w:styleId="41">
    <w:name w:val="Specifications body"/>
    <w:basedOn w:val="1"/>
    <w:uiPriority w:val="99"/>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42">
    <w:name w:val="List Paragraph1"/>
    <w:basedOn w:val="1"/>
    <w:qFormat/>
    <w:uiPriority w:val="34"/>
    <w:pPr>
      <w:ind w:firstLine="420" w:firstLineChars="200"/>
    </w:pPr>
    <w:rPr>
      <w:szCs w:val="22"/>
    </w:rPr>
  </w:style>
  <w:style w:type="paragraph" w:customStyle="1" w:styleId="43">
    <w:name w:val="Table Heading"/>
    <w:basedOn w:val="40"/>
    <w:uiPriority w:val="0"/>
    <w:pPr>
      <w:autoSpaceDE/>
      <w:autoSpaceDN/>
      <w:spacing w:line="288" w:lineRule="auto"/>
      <w:jc w:val="center"/>
    </w:pPr>
    <w:rPr>
      <w:rFonts w:ascii="宋体" w:hAnsi="宋体"/>
      <w:b/>
      <w:szCs w:val="24"/>
    </w:rPr>
  </w:style>
  <w:style w:type="paragraph" w:customStyle="1" w:styleId="44">
    <w:name w:val="列出段落1"/>
    <w:basedOn w:val="1"/>
    <w:uiPriority w:val="0"/>
    <w:pPr>
      <w:ind w:firstLine="420" w:firstLineChars="200"/>
    </w:pPr>
    <w:rPr>
      <w:szCs w:val="22"/>
    </w:rPr>
  </w:style>
  <w:style w:type="paragraph" w:customStyle="1" w:styleId="45">
    <w:name w:val="Char Char2 Char Char Char Char Char Char Char Char"/>
    <w:basedOn w:val="1"/>
    <w:uiPriority w:val="0"/>
    <w:rPr>
      <w:rFonts w:ascii="仿宋_GB2312" w:eastAsia="仿宋_GB2312"/>
      <w:b/>
      <w:sz w:val="32"/>
      <w:szCs w:val="32"/>
    </w:rPr>
  </w:style>
  <w:style w:type="paragraph" w:customStyle="1" w:styleId="46">
    <w:name w:val="列出段落11"/>
    <w:basedOn w:val="1"/>
    <w:qFormat/>
    <w:uiPriority w:val="0"/>
    <w:pPr>
      <w:widowControl/>
      <w:ind w:firstLine="562" w:firstLineChars="200"/>
      <w:contextualSpacing/>
    </w:pPr>
    <w:rPr>
      <w:rFonts w:ascii="宋体" w:hAnsi="宋体" w:cs="宋体"/>
      <w:b/>
      <w:kern w:val="0"/>
      <w:sz w:val="24"/>
    </w:rPr>
  </w:style>
  <w:style w:type="paragraph" w:customStyle="1" w:styleId="47">
    <w:name w:val="中等深浅网格 21"/>
    <w:qFormat/>
    <w:uiPriority w:val="1"/>
    <w:pPr>
      <w:widowControl w:val="0"/>
      <w:spacing w:line="360" w:lineRule="auto"/>
      <w:ind w:firstLine="200" w:firstLineChars="200"/>
    </w:pPr>
    <w:rPr>
      <w:rFonts w:ascii="仿宋" w:hAnsi="仿宋" w:eastAsia="仿宋" w:cs="仿宋"/>
      <w:kern w:val="2"/>
      <w:sz w:val="21"/>
      <w:szCs w:val="21"/>
      <w:lang w:val="en-US" w:eastAsia="zh-CN" w:bidi="ar-SA"/>
    </w:rPr>
  </w:style>
  <w:style w:type="paragraph" w:customStyle="1" w:styleId="48">
    <w:name w:val="彩色列表 - 着色 11"/>
    <w:basedOn w:val="1"/>
    <w:qFormat/>
    <w:uiPriority w:val="34"/>
    <w:pPr>
      <w:ind w:left="720"/>
      <w:contextualSpacing/>
    </w:pPr>
    <w:rPr>
      <w:sz w:val="28"/>
    </w:rPr>
  </w:style>
  <w:style w:type="character" w:customStyle="1" w:styleId="49">
    <w:name w:val="批注主题 字符"/>
    <w:basedOn w:val="24"/>
    <w:link w:val="11"/>
    <w:uiPriority w:val="0"/>
    <w:rPr>
      <w:rFonts w:ascii="仿宋" w:hAnsi="仿宋" w:eastAsia="仿宋" w:cs="仿宋"/>
      <w:b/>
      <w:bCs/>
      <w:kern w:val="2"/>
      <w:sz w:val="21"/>
      <w:szCs w:val="24"/>
    </w:rPr>
  </w:style>
  <w:style w:type="character" w:customStyle="1" w:styleId="50">
    <w:name w:val="批注框文本 字符"/>
    <w:basedOn w:val="19"/>
    <w:link w:val="15"/>
    <w:uiPriority w:val="0"/>
    <w:rPr>
      <w:kern w:val="2"/>
      <w:sz w:val="18"/>
      <w:szCs w:val="18"/>
    </w:rPr>
  </w:style>
  <w:style w:type="paragraph" w:customStyle="1" w:styleId="51">
    <w:name w:val="修订1"/>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95336-35EE-4980-9F6B-863633DEED11}">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2218</Words>
  <Characters>12643</Characters>
  <Lines>105</Lines>
  <Paragraphs>29</Paragraphs>
  <TotalTime>2</TotalTime>
  <ScaleCrop>false</ScaleCrop>
  <LinksUpToDate>false</LinksUpToDate>
  <CharactersWithSpaces>14832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2018-12-26T06:30:00Z</dcterms:created>
  <dc:creator>songhang</dc:creator>
  <cp:lastModifiedBy>W</cp:lastModifiedBy>
  <cp:lastPrinted>2017-03-17T07:40:00Z</cp:lastPrinted>
  <dcterms:modified xsi:type="dcterms:W3CDTF">2018-12-28T01:43:25Z</dcterms:modified>
  <dc:title>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