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4" w:lineRule="atLeast"/>
        <w:ind w:left="0" w:right="0" w:firstLine="0"/>
        <w:jc w:val="center"/>
        <w:rPr>
          <w:rFonts w:hint="eastAsia" w:ascii="宋体" w:hAnsi="宋体" w:eastAsia="宋体" w:cs="宋体"/>
          <w:i w:val="0"/>
          <w:iCs w:val="0"/>
          <w:caps w:val="0"/>
          <w:color w:val="333333"/>
          <w:spacing w:val="0"/>
          <w:sz w:val="36"/>
          <w:szCs w:val="36"/>
        </w:rPr>
      </w:pPr>
      <w:bookmarkStart w:id="0" w:name="_GoBack"/>
      <w:bookmarkEnd w:id="0"/>
      <w:r>
        <w:rPr>
          <w:rFonts w:hint="eastAsia" w:ascii="宋体" w:hAnsi="宋体" w:eastAsia="宋体" w:cs="宋体"/>
          <w:i w:val="0"/>
          <w:iCs w:val="0"/>
          <w:caps w:val="0"/>
          <w:color w:val="333333"/>
          <w:spacing w:val="0"/>
          <w:sz w:val="36"/>
          <w:szCs w:val="36"/>
          <w:shd w:val="clear" w:fill="FFFFFF"/>
        </w:rPr>
        <w:t>江苏省2023年政府集中采购目录及标准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4" w:lineRule="atLeast"/>
        <w:ind w:left="0" w:right="0" w:firstLine="516"/>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4" w:lineRule="atLeast"/>
        <w:ind w:left="0" w:right="0" w:firstLine="516"/>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一、集中采购目录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4" w:lineRule="atLeast"/>
        <w:ind w:left="0" w:right="0" w:firstLine="516"/>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以下项目应当按规定委托集中采购机构代理采购。</w:t>
      </w:r>
    </w:p>
    <w:tbl>
      <w:tblPr>
        <w:tblStyle w:val="3"/>
        <w:tblW w:w="939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15" w:type="dxa"/>
          <w:left w:w="15" w:type="dxa"/>
          <w:bottom w:w="15" w:type="dxa"/>
          <w:right w:w="15" w:type="dxa"/>
        </w:tblCellMar>
      </w:tblPr>
      <w:tblGrid>
        <w:gridCol w:w="779"/>
        <w:gridCol w:w="1720"/>
        <w:gridCol w:w="1823"/>
        <w:gridCol w:w="2691"/>
        <w:gridCol w:w="238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480" w:hRule="atLeast"/>
        </w:trPr>
        <w:tc>
          <w:tcPr>
            <w:tcW w:w="636" w:type="dxa"/>
            <w:tcBorders>
              <w:top w:val="single" w:color="auto" w:sz="4" w:space="0"/>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宋体" w:hAnsi="宋体" w:eastAsia="宋体" w:cs="宋体"/>
                <w:sz w:val="24"/>
                <w:szCs w:val="24"/>
              </w:rPr>
            </w:pPr>
            <w:r>
              <w:rPr>
                <w:rStyle w:val="5"/>
                <w:rFonts w:hint="eastAsia" w:ascii="宋体" w:hAnsi="宋体" w:eastAsia="宋体" w:cs="宋体"/>
                <w:b/>
                <w:bCs/>
                <w:i w:val="0"/>
                <w:iCs w:val="0"/>
                <w:caps w:val="0"/>
                <w:color w:val="333333"/>
                <w:spacing w:val="0"/>
                <w:sz w:val="24"/>
                <w:szCs w:val="24"/>
              </w:rPr>
              <w:t>序号</w:t>
            </w:r>
          </w:p>
        </w:tc>
        <w:tc>
          <w:tcPr>
            <w:tcW w:w="1404" w:type="dxa"/>
            <w:tcBorders>
              <w:top w:val="single" w:color="auto" w:sz="4" w:space="0"/>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宋体" w:hAnsi="宋体" w:eastAsia="宋体" w:cs="宋体"/>
                <w:sz w:val="24"/>
                <w:szCs w:val="24"/>
              </w:rPr>
            </w:pPr>
            <w:r>
              <w:rPr>
                <w:rStyle w:val="5"/>
                <w:rFonts w:hint="eastAsia" w:ascii="宋体" w:hAnsi="宋体" w:eastAsia="宋体" w:cs="宋体"/>
                <w:b/>
                <w:bCs/>
                <w:i w:val="0"/>
                <w:iCs w:val="0"/>
                <w:caps w:val="0"/>
                <w:color w:val="333333"/>
                <w:spacing w:val="0"/>
                <w:sz w:val="24"/>
                <w:szCs w:val="24"/>
              </w:rPr>
              <w:t>品 目</w:t>
            </w:r>
          </w:p>
        </w:tc>
        <w:tc>
          <w:tcPr>
            <w:tcW w:w="1224" w:type="dxa"/>
            <w:tcBorders>
              <w:top w:val="single" w:color="auto" w:sz="4" w:space="0"/>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宋体" w:hAnsi="宋体" w:eastAsia="宋体" w:cs="宋体"/>
                <w:sz w:val="24"/>
                <w:szCs w:val="24"/>
              </w:rPr>
            </w:pPr>
            <w:r>
              <w:rPr>
                <w:rStyle w:val="5"/>
                <w:rFonts w:hint="eastAsia" w:ascii="宋体" w:hAnsi="宋体" w:eastAsia="宋体" w:cs="宋体"/>
                <w:b/>
                <w:bCs/>
                <w:i w:val="0"/>
                <w:iCs w:val="0"/>
                <w:caps w:val="0"/>
                <w:color w:val="333333"/>
                <w:spacing w:val="0"/>
                <w:sz w:val="24"/>
                <w:szCs w:val="24"/>
              </w:rPr>
              <w:t>编 码</w:t>
            </w:r>
          </w:p>
        </w:tc>
        <w:tc>
          <w:tcPr>
            <w:tcW w:w="2196" w:type="dxa"/>
            <w:tcBorders>
              <w:top w:val="single" w:color="auto" w:sz="4" w:space="0"/>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宋体" w:hAnsi="宋体" w:eastAsia="宋体" w:cs="宋体"/>
                <w:sz w:val="24"/>
                <w:szCs w:val="24"/>
              </w:rPr>
            </w:pPr>
            <w:r>
              <w:rPr>
                <w:rStyle w:val="5"/>
                <w:rFonts w:hint="eastAsia" w:ascii="宋体" w:hAnsi="宋体" w:eastAsia="宋体" w:cs="宋体"/>
                <w:b/>
                <w:bCs/>
                <w:i w:val="0"/>
                <w:iCs w:val="0"/>
                <w:caps w:val="0"/>
                <w:color w:val="333333"/>
                <w:spacing w:val="0"/>
                <w:sz w:val="24"/>
                <w:szCs w:val="24"/>
              </w:rPr>
              <w:t>说 明</w:t>
            </w:r>
          </w:p>
        </w:tc>
        <w:tc>
          <w:tcPr>
            <w:tcW w:w="1944" w:type="dxa"/>
            <w:tcBorders>
              <w:top w:val="single" w:color="auto" w:sz="4" w:space="0"/>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宋体" w:hAnsi="宋体" w:eastAsia="宋体" w:cs="宋体"/>
                <w:sz w:val="24"/>
                <w:szCs w:val="24"/>
              </w:rPr>
            </w:pPr>
            <w:r>
              <w:rPr>
                <w:rStyle w:val="5"/>
                <w:rFonts w:hint="eastAsia" w:ascii="宋体" w:hAnsi="宋体" w:eastAsia="宋体" w:cs="宋体"/>
                <w:b/>
                <w:bCs/>
                <w:i w:val="0"/>
                <w:iCs w:val="0"/>
                <w:caps w:val="0"/>
                <w:color w:val="333333"/>
                <w:spacing w:val="0"/>
                <w:sz w:val="24"/>
                <w:szCs w:val="24"/>
              </w:rPr>
              <w:t>备 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636" w:type="dxa"/>
            <w:tcBorders>
              <w:top w:val="nil"/>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rPr>
              <w:t>1</w:t>
            </w:r>
          </w:p>
        </w:tc>
        <w:tc>
          <w:tcPr>
            <w:tcW w:w="1404"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rPr>
              <w:t>服务器</w:t>
            </w:r>
          </w:p>
        </w:tc>
        <w:tc>
          <w:tcPr>
            <w:tcW w:w="1224"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rPr>
              <w:t>A02010103</w:t>
            </w:r>
          </w:p>
        </w:tc>
        <w:tc>
          <w:tcPr>
            <w:tcW w:w="2196"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keepNext w:val="0"/>
              <w:keepLines w:val="0"/>
              <w:widowControl/>
              <w:suppressLineNumbers w:val="0"/>
              <w:spacing w:before="0" w:beforeAutospacing="0" w:after="0" w:afterAutospacing="0"/>
              <w:ind w:left="0" w:right="0" w:firstLine="0"/>
              <w:jc w:val="both"/>
              <w:rPr>
                <w:rFonts w:hint="eastAsia" w:ascii="宋体" w:hAnsi="宋体" w:eastAsia="宋体" w:cs="宋体"/>
                <w:i w:val="0"/>
                <w:iCs w:val="0"/>
                <w:caps w:val="0"/>
                <w:color w:val="333333"/>
                <w:spacing w:val="0"/>
                <w:sz w:val="24"/>
                <w:szCs w:val="24"/>
              </w:rPr>
            </w:pPr>
          </w:p>
        </w:tc>
        <w:tc>
          <w:tcPr>
            <w:tcW w:w="1944"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rPr>
              <w:t>小额零星采购实行框架协议采购，全省联动。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636" w:type="dxa"/>
            <w:tcBorders>
              <w:top w:val="nil"/>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rPr>
              <w:t>2</w:t>
            </w:r>
          </w:p>
        </w:tc>
        <w:tc>
          <w:tcPr>
            <w:tcW w:w="1404"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rPr>
              <w:t>台式计算机</w:t>
            </w:r>
          </w:p>
        </w:tc>
        <w:tc>
          <w:tcPr>
            <w:tcW w:w="1224"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rPr>
              <w:t>A02010104</w:t>
            </w:r>
          </w:p>
        </w:tc>
        <w:tc>
          <w:tcPr>
            <w:tcW w:w="2196"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rPr>
              <w:t>不包括图形工作站。</w:t>
            </w:r>
          </w:p>
        </w:tc>
        <w:tc>
          <w:tcPr>
            <w:tcW w:w="1944"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rPr>
              <w:t>小额零星采购实行框架协议采购，全省联动。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636" w:type="dxa"/>
            <w:tcBorders>
              <w:top w:val="nil"/>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rPr>
              <w:t>3</w:t>
            </w:r>
          </w:p>
        </w:tc>
        <w:tc>
          <w:tcPr>
            <w:tcW w:w="1404"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rPr>
              <w:t>便携式计算机</w:t>
            </w:r>
          </w:p>
        </w:tc>
        <w:tc>
          <w:tcPr>
            <w:tcW w:w="1224"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rPr>
              <w:t>A02010105</w:t>
            </w:r>
          </w:p>
        </w:tc>
        <w:tc>
          <w:tcPr>
            <w:tcW w:w="2196"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rPr>
              <w:t>不包括移动工作站。</w:t>
            </w:r>
          </w:p>
        </w:tc>
        <w:tc>
          <w:tcPr>
            <w:tcW w:w="1944"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rPr>
              <w:t>小额零星采购实行框架协议采购，全省联动。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636" w:type="dxa"/>
            <w:tcBorders>
              <w:top w:val="nil"/>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rPr>
              <w:t>4</w:t>
            </w:r>
          </w:p>
        </w:tc>
        <w:tc>
          <w:tcPr>
            <w:tcW w:w="1404"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rPr>
              <w:t>信息安全设备</w:t>
            </w:r>
          </w:p>
        </w:tc>
        <w:tc>
          <w:tcPr>
            <w:tcW w:w="1224"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rPr>
              <w:t>A020103</w:t>
            </w:r>
          </w:p>
        </w:tc>
        <w:tc>
          <w:tcPr>
            <w:tcW w:w="2196"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rPr>
              <w:t>包括防火墙、入侵检测设备、安全审计设备。</w:t>
            </w:r>
          </w:p>
        </w:tc>
        <w:tc>
          <w:tcPr>
            <w:tcW w:w="1944"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rPr>
              <w:t>小额零星采购实行框架协议采购，全省联动。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636" w:type="dxa"/>
            <w:tcBorders>
              <w:top w:val="nil"/>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rPr>
              <w:t>5</w:t>
            </w:r>
          </w:p>
        </w:tc>
        <w:tc>
          <w:tcPr>
            <w:tcW w:w="1404"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rPr>
              <w:t>喷墨打印机</w:t>
            </w:r>
          </w:p>
        </w:tc>
        <w:tc>
          <w:tcPr>
            <w:tcW w:w="1224"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rPr>
              <w:t>A0201060101</w:t>
            </w:r>
          </w:p>
        </w:tc>
        <w:tc>
          <w:tcPr>
            <w:tcW w:w="2196"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keepNext w:val="0"/>
              <w:keepLines w:val="0"/>
              <w:widowControl/>
              <w:suppressLineNumbers w:val="0"/>
              <w:spacing w:before="0" w:beforeAutospacing="0" w:after="0" w:afterAutospacing="0"/>
              <w:ind w:left="0" w:right="0" w:firstLine="0"/>
              <w:jc w:val="both"/>
              <w:rPr>
                <w:rFonts w:hint="eastAsia" w:ascii="宋体" w:hAnsi="宋体" w:eastAsia="宋体" w:cs="宋体"/>
                <w:i w:val="0"/>
                <w:iCs w:val="0"/>
                <w:caps w:val="0"/>
                <w:color w:val="333333"/>
                <w:spacing w:val="0"/>
                <w:sz w:val="24"/>
                <w:szCs w:val="24"/>
              </w:rPr>
            </w:pPr>
          </w:p>
        </w:tc>
        <w:tc>
          <w:tcPr>
            <w:tcW w:w="1944"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rPr>
              <w:t>小额零星采购实行框架协议采购，全省联动。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636" w:type="dxa"/>
            <w:tcBorders>
              <w:top w:val="nil"/>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rPr>
              <w:t>6</w:t>
            </w:r>
          </w:p>
        </w:tc>
        <w:tc>
          <w:tcPr>
            <w:tcW w:w="1404"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rPr>
              <w:t>激光打印机</w:t>
            </w:r>
          </w:p>
        </w:tc>
        <w:tc>
          <w:tcPr>
            <w:tcW w:w="1224"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rPr>
              <w:t>A0201060102</w:t>
            </w:r>
          </w:p>
        </w:tc>
        <w:tc>
          <w:tcPr>
            <w:tcW w:w="2196"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keepNext w:val="0"/>
              <w:keepLines w:val="0"/>
              <w:widowControl/>
              <w:suppressLineNumbers w:val="0"/>
              <w:spacing w:before="0" w:beforeAutospacing="0" w:after="0" w:afterAutospacing="0"/>
              <w:ind w:left="0" w:right="0" w:firstLine="0"/>
              <w:jc w:val="both"/>
              <w:rPr>
                <w:rFonts w:hint="eastAsia" w:ascii="宋体" w:hAnsi="宋体" w:eastAsia="宋体" w:cs="宋体"/>
                <w:i w:val="0"/>
                <w:iCs w:val="0"/>
                <w:caps w:val="0"/>
                <w:color w:val="333333"/>
                <w:spacing w:val="0"/>
                <w:sz w:val="24"/>
                <w:szCs w:val="24"/>
              </w:rPr>
            </w:pPr>
          </w:p>
        </w:tc>
        <w:tc>
          <w:tcPr>
            <w:tcW w:w="1944"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rPr>
              <w:t>小额零星采购实行框架协议采购，全省联动。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636" w:type="dxa"/>
            <w:tcBorders>
              <w:top w:val="nil"/>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rPr>
              <w:t>7</w:t>
            </w:r>
          </w:p>
        </w:tc>
        <w:tc>
          <w:tcPr>
            <w:tcW w:w="1404"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rPr>
              <w:t>针式打印机</w:t>
            </w:r>
          </w:p>
        </w:tc>
        <w:tc>
          <w:tcPr>
            <w:tcW w:w="1224"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rPr>
              <w:t>A0201060104</w:t>
            </w:r>
          </w:p>
        </w:tc>
        <w:tc>
          <w:tcPr>
            <w:tcW w:w="2196"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keepNext w:val="0"/>
              <w:keepLines w:val="0"/>
              <w:widowControl/>
              <w:suppressLineNumbers w:val="0"/>
              <w:spacing w:before="0" w:beforeAutospacing="0" w:after="0" w:afterAutospacing="0"/>
              <w:ind w:left="0" w:right="0" w:firstLine="0"/>
              <w:jc w:val="both"/>
              <w:rPr>
                <w:rFonts w:hint="eastAsia" w:ascii="宋体" w:hAnsi="宋体" w:eastAsia="宋体" w:cs="宋体"/>
                <w:i w:val="0"/>
                <w:iCs w:val="0"/>
                <w:caps w:val="0"/>
                <w:color w:val="333333"/>
                <w:spacing w:val="0"/>
                <w:sz w:val="24"/>
                <w:szCs w:val="24"/>
              </w:rPr>
            </w:pPr>
          </w:p>
        </w:tc>
        <w:tc>
          <w:tcPr>
            <w:tcW w:w="1944"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rPr>
              <w:t>小额零星采购实行框架协议采购，全省联动。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636" w:type="dxa"/>
            <w:tcBorders>
              <w:top w:val="nil"/>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rPr>
              <w:t>8</w:t>
            </w:r>
          </w:p>
        </w:tc>
        <w:tc>
          <w:tcPr>
            <w:tcW w:w="1404"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rPr>
              <w:t>液晶显示器</w:t>
            </w:r>
          </w:p>
        </w:tc>
        <w:tc>
          <w:tcPr>
            <w:tcW w:w="1224"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rPr>
              <w:t>A0201060401</w:t>
            </w:r>
          </w:p>
        </w:tc>
        <w:tc>
          <w:tcPr>
            <w:tcW w:w="2196"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keepNext w:val="0"/>
              <w:keepLines w:val="0"/>
              <w:widowControl/>
              <w:suppressLineNumbers w:val="0"/>
              <w:spacing w:before="0" w:beforeAutospacing="0" w:after="0" w:afterAutospacing="0"/>
              <w:ind w:left="0" w:right="0" w:firstLine="0"/>
              <w:jc w:val="both"/>
              <w:rPr>
                <w:rFonts w:hint="eastAsia" w:ascii="宋体" w:hAnsi="宋体" w:eastAsia="宋体" w:cs="宋体"/>
                <w:i w:val="0"/>
                <w:iCs w:val="0"/>
                <w:caps w:val="0"/>
                <w:color w:val="333333"/>
                <w:spacing w:val="0"/>
                <w:sz w:val="24"/>
                <w:szCs w:val="24"/>
              </w:rPr>
            </w:pPr>
          </w:p>
        </w:tc>
        <w:tc>
          <w:tcPr>
            <w:tcW w:w="1944"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top"/>
          </w:tcPr>
          <w:p>
            <w:pPr>
              <w:keepNext w:val="0"/>
              <w:keepLines w:val="0"/>
              <w:widowControl/>
              <w:suppressLineNumbers w:val="0"/>
              <w:spacing w:before="0" w:beforeAutospacing="0" w:after="0" w:afterAutospacing="0"/>
              <w:ind w:left="0" w:right="0" w:firstLine="0"/>
              <w:jc w:val="both"/>
              <w:rPr>
                <w:rFonts w:hint="eastAsia" w:ascii="宋体" w:hAnsi="宋体" w:eastAsia="宋体" w:cs="宋体"/>
                <w:i w:val="0"/>
                <w:iCs w:val="0"/>
                <w:caps w:val="0"/>
                <w:color w:val="333333"/>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1056" w:hRule="atLeast"/>
        </w:trPr>
        <w:tc>
          <w:tcPr>
            <w:tcW w:w="636" w:type="dxa"/>
            <w:tcBorders>
              <w:top w:val="nil"/>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rPr>
              <w:t>9</w:t>
            </w:r>
          </w:p>
        </w:tc>
        <w:tc>
          <w:tcPr>
            <w:tcW w:w="1404"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rPr>
              <w:t>扫描仪</w:t>
            </w:r>
          </w:p>
        </w:tc>
        <w:tc>
          <w:tcPr>
            <w:tcW w:w="1224"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rPr>
              <w:t>A0201060901</w:t>
            </w:r>
          </w:p>
        </w:tc>
        <w:tc>
          <w:tcPr>
            <w:tcW w:w="2196"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rPr>
              <w:t>包括平板式扫描仪、高速文档扫描仪、书刊扫描仪和胶片扫描仪，不包括档案、工程专用的大幅面扫描仪。</w:t>
            </w:r>
          </w:p>
        </w:tc>
        <w:tc>
          <w:tcPr>
            <w:tcW w:w="1944"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rPr>
              <w:t>小额零星采购实行框架协议采购，全省联动。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684" w:hRule="atLeast"/>
        </w:trPr>
        <w:tc>
          <w:tcPr>
            <w:tcW w:w="636" w:type="dxa"/>
            <w:tcBorders>
              <w:top w:val="nil"/>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rPr>
              <w:t>10</w:t>
            </w:r>
          </w:p>
        </w:tc>
        <w:tc>
          <w:tcPr>
            <w:tcW w:w="1404"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rPr>
              <w:t>基础软件</w:t>
            </w:r>
          </w:p>
        </w:tc>
        <w:tc>
          <w:tcPr>
            <w:tcW w:w="1224"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rPr>
              <w:t>A02010801</w:t>
            </w:r>
          </w:p>
        </w:tc>
        <w:tc>
          <w:tcPr>
            <w:tcW w:w="2196"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rPr>
              <w:t>包括操作系统、数据库管理系统、中间件、办公套件。</w:t>
            </w:r>
          </w:p>
        </w:tc>
        <w:tc>
          <w:tcPr>
            <w:tcW w:w="1944"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top"/>
          </w:tcPr>
          <w:p>
            <w:pPr>
              <w:keepNext w:val="0"/>
              <w:keepLines w:val="0"/>
              <w:widowControl/>
              <w:suppressLineNumbers w:val="0"/>
              <w:spacing w:before="0" w:beforeAutospacing="0" w:after="0" w:afterAutospacing="0"/>
              <w:ind w:left="0" w:right="0" w:firstLine="0"/>
              <w:jc w:val="both"/>
              <w:rPr>
                <w:rFonts w:hint="eastAsia" w:ascii="宋体" w:hAnsi="宋体" w:eastAsia="宋体" w:cs="宋体"/>
                <w:i w:val="0"/>
                <w:iCs w:val="0"/>
                <w:caps w:val="0"/>
                <w:color w:val="333333"/>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PrEx>
        <w:trPr>
          <w:trHeight w:val="418" w:hRule="atLeast"/>
        </w:trPr>
        <w:tc>
          <w:tcPr>
            <w:tcW w:w="636" w:type="dxa"/>
            <w:tcBorders>
              <w:top w:val="nil"/>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rPr>
              <w:t>11</w:t>
            </w:r>
          </w:p>
        </w:tc>
        <w:tc>
          <w:tcPr>
            <w:tcW w:w="1404"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rPr>
              <w:t>信息安全软件</w:t>
            </w:r>
          </w:p>
        </w:tc>
        <w:tc>
          <w:tcPr>
            <w:tcW w:w="1224"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rPr>
              <w:t>A02010805</w:t>
            </w:r>
          </w:p>
        </w:tc>
        <w:tc>
          <w:tcPr>
            <w:tcW w:w="2196"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rPr>
              <w:t>包括基础和平台类安全软件、数据安全软件、网络与边界安全、专用安全软件、安全测试评估软件、安全应用软件、安全支撑软件、安全管理软件。</w:t>
            </w:r>
          </w:p>
        </w:tc>
        <w:tc>
          <w:tcPr>
            <w:tcW w:w="1944"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top"/>
          </w:tcPr>
          <w:p>
            <w:pPr>
              <w:keepNext w:val="0"/>
              <w:keepLines w:val="0"/>
              <w:widowControl/>
              <w:suppressLineNumbers w:val="0"/>
              <w:spacing w:before="0" w:beforeAutospacing="0" w:after="0" w:afterAutospacing="0"/>
              <w:ind w:left="0" w:right="0" w:firstLine="0"/>
              <w:jc w:val="both"/>
              <w:rPr>
                <w:rFonts w:hint="eastAsia" w:ascii="宋体" w:hAnsi="宋体" w:eastAsia="宋体" w:cs="宋体"/>
                <w:i w:val="0"/>
                <w:iCs w:val="0"/>
                <w:caps w:val="0"/>
                <w:color w:val="333333"/>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636" w:type="dxa"/>
            <w:tcBorders>
              <w:top w:val="nil"/>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rPr>
              <w:t>12</w:t>
            </w:r>
          </w:p>
        </w:tc>
        <w:tc>
          <w:tcPr>
            <w:tcW w:w="1404"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rPr>
              <w:t>复印机</w:t>
            </w:r>
          </w:p>
        </w:tc>
        <w:tc>
          <w:tcPr>
            <w:tcW w:w="1224"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rPr>
              <w:t>A020201</w:t>
            </w:r>
          </w:p>
        </w:tc>
        <w:tc>
          <w:tcPr>
            <w:tcW w:w="2196"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keepNext w:val="0"/>
              <w:keepLines w:val="0"/>
              <w:widowControl/>
              <w:suppressLineNumbers w:val="0"/>
              <w:spacing w:before="0" w:beforeAutospacing="0" w:after="0" w:afterAutospacing="0"/>
              <w:ind w:left="0" w:right="0" w:firstLine="0"/>
              <w:jc w:val="both"/>
              <w:rPr>
                <w:rFonts w:hint="eastAsia" w:ascii="宋体" w:hAnsi="宋体" w:eastAsia="宋体" w:cs="宋体"/>
                <w:i w:val="0"/>
                <w:iCs w:val="0"/>
                <w:caps w:val="0"/>
                <w:color w:val="333333"/>
                <w:spacing w:val="0"/>
                <w:sz w:val="24"/>
                <w:szCs w:val="24"/>
              </w:rPr>
            </w:pPr>
          </w:p>
        </w:tc>
        <w:tc>
          <w:tcPr>
            <w:tcW w:w="1944"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top"/>
          </w:tcPr>
          <w:p>
            <w:pPr>
              <w:keepNext w:val="0"/>
              <w:keepLines w:val="0"/>
              <w:widowControl/>
              <w:suppressLineNumbers w:val="0"/>
              <w:spacing w:before="0" w:beforeAutospacing="0" w:after="0" w:afterAutospacing="0"/>
              <w:ind w:left="0" w:right="0" w:firstLine="0"/>
              <w:jc w:val="both"/>
              <w:rPr>
                <w:rFonts w:hint="eastAsia" w:ascii="宋体" w:hAnsi="宋体" w:eastAsia="宋体" w:cs="宋体"/>
                <w:i w:val="0"/>
                <w:iCs w:val="0"/>
                <w:caps w:val="0"/>
                <w:color w:val="333333"/>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660" w:hRule="atLeast"/>
        </w:trPr>
        <w:tc>
          <w:tcPr>
            <w:tcW w:w="636" w:type="dxa"/>
            <w:tcBorders>
              <w:top w:val="nil"/>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rPr>
              <w:t>13</w:t>
            </w:r>
          </w:p>
        </w:tc>
        <w:tc>
          <w:tcPr>
            <w:tcW w:w="1404"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rPr>
              <w:t>投影仪</w:t>
            </w:r>
          </w:p>
        </w:tc>
        <w:tc>
          <w:tcPr>
            <w:tcW w:w="1224"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rPr>
              <w:t>A020202</w:t>
            </w:r>
          </w:p>
        </w:tc>
        <w:tc>
          <w:tcPr>
            <w:tcW w:w="2196"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rPr>
              <w:t>不包括用于测量、测绘等专用投影仪。</w:t>
            </w:r>
          </w:p>
        </w:tc>
        <w:tc>
          <w:tcPr>
            <w:tcW w:w="1944"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top"/>
          </w:tcPr>
          <w:p>
            <w:pPr>
              <w:keepNext w:val="0"/>
              <w:keepLines w:val="0"/>
              <w:widowControl/>
              <w:suppressLineNumbers w:val="0"/>
              <w:spacing w:before="0" w:beforeAutospacing="0" w:after="0" w:afterAutospacing="0"/>
              <w:ind w:left="0" w:right="0" w:firstLine="0"/>
              <w:jc w:val="both"/>
              <w:rPr>
                <w:rFonts w:hint="eastAsia" w:ascii="宋体" w:hAnsi="宋体" w:eastAsia="宋体" w:cs="宋体"/>
                <w:i w:val="0"/>
                <w:iCs w:val="0"/>
                <w:caps w:val="0"/>
                <w:color w:val="333333"/>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636" w:type="dxa"/>
            <w:tcBorders>
              <w:top w:val="nil"/>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rPr>
              <w:t>14</w:t>
            </w:r>
          </w:p>
        </w:tc>
        <w:tc>
          <w:tcPr>
            <w:tcW w:w="1404"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rPr>
              <w:t>多功能一体机</w:t>
            </w:r>
          </w:p>
        </w:tc>
        <w:tc>
          <w:tcPr>
            <w:tcW w:w="1224"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rPr>
              <w:t>A020204</w:t>
            </w:r>
          </w:p>
        </w:tc>
        <w:tc>
          <w:tcPr>
            <w:tcW w:w="2196"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rPr>
              <w:t>包括具有多种办公功能的设备，如带有打印功能的复印机等。</w:t>
            </w:r>
          </w:p>
        </w:tc>
        <w:tc>
          <w:tcPr>
            <w:tcW w:w="1944"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rPr>
              <w:t>小额零星采购实行框架协议采购，全省联动。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636" w:type="dxa"/>
            <w:tcBorders>
              <w:top w:val="nil"/>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rPr>
              <w:t>15</w:t>
            </w:r>
          </w:p>
        </w:tc>
        <w:tc>
          <w:tcPr>
            <w:tcW w:w="1404"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rPr>
              <w:t>LED显示屏</w:t>
            </w:r>
          </w:p>
        </w:tc>
        <w:tc>
          <w:tcPr>
            <w:tcW w:w="1224"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rPr>
              <w:t>A020207</w:t>
            </w:r>
          </w:p>
        </w:tc>
        <w:tc>
          <w:tcPr>
            <w:tcW w:w="2196"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rPr>
              <w:t>包括单基色显示屏、双基色显示屏、全彩色显示屏等。</w:t>
            </w:r>
          </w:p>
        </w:tc>
        <w:tc>
          <w:tcPr>
            <w:tcW w:w="1944"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top"/>
          </w:tcPr>
          <w:p>
            <w:pPr>
              <w:keepNext w:val="0"/>
              <w:keepLines w:val="0"/>
              <w:widowControl/>
              <w:suppressLineNumbers w:val="0"/>
              <w:spacing w:before="0" w:beforeAutospacing="0" w:after="0" w:afterAutospacing="0"/>
              <w:ind w:left="0" w:right="0" w:firstLine="0"/>
              <w:jc w:val="both"/>
              <w:rPr>
                <w:rFonts w:hint="eastAsia" w:ascii="宋体" w:hAnsi="宋体" w:eastAsia="宋体" w:cs="宋体"/>
                <w:i w:val="0"/>
                <w:iCs w:val="0"/>
                <w:caps w:val="0"/>
                <w:color w:val="333333"/>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636" w:type="dxa"/>
            <w:tcBorders>
              <w:top w:val="nil"/>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rPr>
              <w:t>16</w:t>
            </w:r>
          </w:p>
        </w:tc>
        <w:tc>
          <w:tcPr>
            <w:tcW w:w="1404"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rPr>
              <w:t>触控一体机</w:t>
            </w:r>
          </w:p>
        </w:tc>
        <w:tc>
          <w:tcPr>
            <w:tcW w:w="1224"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rPr>
              <w:t>A020208</w:t>
            </w:r>
          </w:p>
        </w:tc>
        <w:tc>
          <w:tcPr>
            <w:tcW w:w="2196"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keepNext w:val="0"/>
              <w:keepLines w:val="0"/>
              <w:widowControl/>
              <w:suppressLineNumbers w:val="0"/>
              <w:spacing w:before="0" w:beforeAutospacing="0" w:after="0" w:afterAutospacing="0"/>
              <w:ind w:left="0" w:right="0" w:firstLine="0"/>
              <w:jc w:val="both"/>
              <w:rPr>
                <w:rFonts w:hint="eastAsia" w:ascii="宋体" w:hAnsi="宋体" w:eastAsia="宋体" w:cs="宋体"/>
                <w:i w:val="0"/>
                <w:iCs w:val="0"/>
                <w:caps w:val="0"/>
                <w:color w:val="333333"/>
                <w:spacing w:val="0"/>
                <w:sz w:val="24"/>
                <w:szCs w:val="24"/>
              </w:rPr>
            </w:pPr>
          </w:p>
        </w:tc>
        <w:tc>
          <w:tcPr>
            <w:tcW w:w="1944"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top"/>
          </w:tcPr>
          <w:p>
            <w:pPr>
              <w:keepNext w:val="0"/>
              <w:keepLines w:val="0"/>
              <w:widowControl/>
              <w:suppressLineNumbers w:val="0"/>
              <w:spacing w:before="0" w:beforeAutospacing="0" w:after="0" w:afterAutospacing="0"/>
              <w:ind w:left="0" w:right="0" w:firstLine="0"/>
              <w:jc w:val="both"/>
              <w:rPr>
                <w:rFonts w:hint="eastAsia" w:ascii="宋体" w:hAnsi="宋体" w:eastAsia="宋体" w:cs="宋体"/>
                <w:i w:val="0"/>
                <w:iCs w:val="0"/>
                <w:caps w:val="0"/>
                <w:color w:val="333333"/>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636" w:type="dxa"/>
            <w:tcBorders>
              <w:top w:val="nil"/>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rPr>
              <w:t>17</w:t>
            </w:r>
          </w:p>
        </w:tc>
        <w:tc>
          <w:tcPr>
            <w:tcW w:w="1404"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rPr>
              <w:t>碎纸机</w:t>
            </w:r>
          </w:p>
        </w:tc>
        <w:tc>
          <w:tcPr>
            <w:tcW w:w="1224"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rPr>
              <w:t>A02021101</w:t>
            </w:r>
          </w:p>
        </w:tc>
        <w:tc>
          <w:tcPr>
            <w:tcW w:w="2196"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keepNext w:val="0"/>
              <w:keepLines w:val="0"/>
              <w:widowControl/>
              <w:suppressLineNumbers w:val="0"/>
              <w:spacing w:before="0" w:beforeAutospacing="0" w:after="0" w:afterAutospacing="0"/>
              <w:ind w:left="0" w:right="0" w:firstLine="0"/>
              <w:jc w:val="both"/>
              <w:rPr>
                <w:rFonts w:hint="eastAsia" w:ascii="宋体" w:hAnsi="宋体" w:eastAsia="宋体" w:cs="宋体"/>
                <w:i w:val="0"/>
                <w:iCs w:val="0"/>
                <w:caps w:val="0"/>
                <w:color w:val="333333"/>
                <w:spacing w:val="0"/>
                <w:sz w:val="24"/>
                <w:szCs w:val="24"/>
              </w:rPr>
            </w:pPr>
          </w:p>
        </w:tc>
        <w:tc>
          <w:tcPr>
            <w:tcW w:w="1944"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top"/>
          </w:tcPr>
          <w:p>
            <w:pPr>
              <w:keepNext w:val="0"/>
              <w:keepLines w:val="0"/>
              <w:widowControl/>
              <w:suppressLineNumbers w:val="0"/>
              <w:spacing w:before="0" w:beforeAutospacing="0" w:after="0" w:afterAutospacing="0"/>
              <w:ind w:left="0" w:right="0" w:firstLine="0"/>
              <w:jc w:val="both"/>
              <w:rPr>
                <w:rFonts w:hint="eastAsia" w:ascii="宋体" w:hAnsi="宋体" w:eastAsia="宋体" w:cs="宋体"/>
                <w:i w:val="0"/>
                <w:iCs w:val="0"/>
                <w:caps w:val="0"/>
                <w:color w:val="333333"/>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636" w:type="dxa"/>
            <w:tcBorders>
              <w:top w:val="nil"/>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rPr>
              <w:t>18</w:t>
            </w:r>
          </w:p>
        </w:tc>
        <w:tc>
          <w:tcPr>
            <w:tcW w:w="1404"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rPr>
              <w:t>乘用车</w:t>
            </w:r>
          </w:p>
        </w:tc>
        <w:tc>
          <w:tcPr>
            <w:tcW w:w="1224"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rPr>
              <w:t>A020305</w:t>
            </w:r>
          </w:p>
        </w:tc>
        <w:tc>
          <w:tcPr>
            <w:tcW w:w="2196"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rPr>
              <w:t>包括驾驶员座位在内不超过（含）9个座位的轿车、越野车、商务车、其他乘用车（轿车），含新能源汽车。</w:t>
            </w:r>
          </w:p>
        </w:tc>
        <w:tc>
          <w:tcPr>
            <w:tcW w:w="1944"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rPr>
              <w:t>小额零星采购实行框架协议采购，全省联动。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636" w:type="dxa"/>
            <w:tcBorders>
              <w:top w:val="nil"/>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rPr>
              <w:t>19</w:t>
            </w:r>
          </w:p>
        </w:tc>
        <w:tc>
          <w:tcPr>
            <w:tcW w:w="1404"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rPr>
              <w:t>客车</w:t>
            </w:r>
          </w:p>
        </w:tc>
        <w:tc>
          <w:tcPr>
            <w:tcW w:w="1224"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rPr>
              <w:t>A020306</w:t>
            </w:r>
          </w:p>
        </w:tc>
        <w:tc>
          <w:tcPr>
            <w:tcW w:w="2196"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rPr>
              <w:t>包括小型客车（除驾驶员座位外，座位数超过9座但不超过16座）、大中型客车（除驾驶员座位外，座位数超过16座），含新能源汽车。</w:t>
            </w:r>
          </w:p>
        </w:tc>
        <w:tc>
          <w:tcPr>
            <w:tcW w:w="1944"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rPr>
              <w:t>小额零星采购实行框架协议采购，全省联动。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636" w:type="dxa"/>
            <w:tcBorders>
              <w:top w:val="nil"/>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rPr>
              <w:t>20</w:t>
            </w:r>
          </w:p>
        </w:tc>
        <w:tc>
          <w:tcPr>
            <w:tcW w:w="1404"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rPr>
              <w:t>电梯</w:t>
            </w:r>
          </w:p>
        </w:tc>
        <w:tc>
          <w:tcPr>
            <w:tcW w:w="1224"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rPr>
              <w:t>A02051228</w:t>
            </w:r>
          </w:p>
        </w:tc>
        <w:tc>
          <w:tcPr>
            <w:tcW w:w="2196"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keepNext w:val="0"/>
              <w:keepLines w:val="0"/>
              <w:widowControl/>
              <w:suppressLineNumbers w:val="0"/>
              <w:spacing w:before="0" w:beforeAutospacing="0" w:after="0" w:afterAutospacing="0"/>
              <w:ind w:left="0" w:right="0" w:firstLine="0"/>
              <w:jc w:val="both"/>
              <w:rPr>
                <w:rFonts w:hint="eastAsia" w:ascii="宋体" w:hAnsi="宋体" w:eastAsia="宋体" w:cs="宋体"/>
                <w:i w:val="0"/>
                <w:iCs w:val="0"/>
                <w:caps w:val="0"/>
                <w:color w:val="333333"/>
                <w:spacing w:val="0"/>
                <w:sz w:val="24"/>
                <w:szCs w:val="24"/>
              </w:rPr>
            </w:pPr>
          </w:p>
        </w:tc>
        <w:tc>
          <w:tcPr>
            <w:tcW w:w="1944"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top"/>
          </w:tcPr>
          <w:p>
            <w:pPr>
              <w:keepNext w:val="0"/>
              <w:keepLines w:val="0"/>
              <w:widowControl/>
              <w:suppressLineNumbers w:val="0"/>
              <w:spacing w:before="0" w:beforeAutospacing="0" w:after="0" w:afterAutospacing="0"/>
              <w:ind w:left="0" w:right="0" w:firstLine="0"/>
              <w:jc w:val="both"/>
              <w:rPr>
                <w:rFonts w:hint="eastAsia" w:ascii="宋体" w:hAnsi="宋体" w:eastAsia="宋体" w:cs="宋体"/>
                <w:i w:val="0"/>
                <w:iCs w:val="0"/>
                <w:caps w:val="0"/>
                <w:color w:val="333333"/>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636" w:type="dxa"/>
            <w:tcBorders>
              <w:top w:val="nil"/>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rPr>
              <w:t>21</w:t>
            </w:r>
          </w:p>
        </w:tc>
        <w:tc>
          <w:tcPr>
            <w:tcW w:w="1404"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rPr>
              <w:t>不间断电源（UPS）</w:t>
            </w:r>
          </w:p>
        </w:tc>
        <w:tc>
          <w:tcPr>
            <w:tcW w:w="1224"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rPr>
              <w:t>A02061504</w:t>
            </w:r>
          </w:p>
        </w:tc>
        <w:tc>
          <w:tcPr>
            <w:tcW w:w="2196"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keepNext w:val="0"/>
              <w:keepLines w:val="0"/>
              <w:widowControl/>
              <w:suppressLineNumbers w:val="0"/>
              <w:spacing w:before="0" w:beforeAutospacing="0" w:after="0" w:afterAutospacing="0"/>
              <w:ind w:left="0" w:right="0" w:firstLine="0"/>
              <w:jc w:val="both"/>
              <w:rPr>
                <w:rFonts w:hint="eastAsia" w:ascii="宋体" w:hAnsi="宋体" w:eastAsia="宋体" w:cs="宋体"/>
                <w:i w:val="0"/>
                <w:iCs w:val="0"/>
                <w:caps w:val="0"/>
                <w:color w:val="333333"/>
                <w:spacing w:val="0"/>
                <w:sz w:val="24"/>
                <w:szCs w:val="24"/>
              </w:rPr>
            </w:pPr>
          </w:p>
        </w:tc>
        <w:tc>
          <w:tcPr>
            <w:tcW w:w="1944"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top"/>
          </w:tcPr>
          <w:p>
            <w:pPr>
              <w:keepNext w:val="0"/>
              <w:keepLines w:val="0"/>
              <w:widowControl/>
              <w:suppressLineNumbers w:val="0"/>
              <w:spacing w:before="0" w:beforeAutospacing="0" w:after="0" w:afterAutospacing="0"/>
              <w:ind w:left="0" w:right="0" w:firstLine="0"/>
              <w:jc w:val="both"/>
              <w:rPr>
                <w:rFonts w:hint="eastAsia" w:ascii="宋体" w:hAnsi="宋体" w:eastAsia="宋体" w:cs="宋体"/>
                <w:i w:val="0"/>
                <w:iCs w:val="0"/>
                <w:caps w:val="0"/>
                <w:color w:val="333333"/>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636" w:type="dxa"/>
            <w:tcBorders>
              <w:top w:val="nil"/>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rPr>
              <w:t>22</w:t>
            </w:r>
          </w:p>
        </w:tc>
        <w:tc>
          <w:tcPr>
            <w:tcW w:w="1404"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rPr>
              <w:t>空调机</w:t>
            </w:r>
          </w:p>
        </w:tc>
        <w:tc>
          <w:tcPr>
            <w:tcW w:w="1224"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rPr>
              <w:t>A0206180203</w:t>
            </w:r>
          </w:p>
        </w:tc>
        <w:tc>
          <w:tcPr>
            <w:tcW w:w="2196"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rPr>
              <w:t>指额定制冷量14000W及以下的空调机，不包括多联式空调机组。</w:t>
            </w:r>
          </w:p>
        </w:tc>
        <w:tc>
          <w:tcPr>
            <w:tcW w:w="1944"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rPr>
              <w:t>小额零星采购实行框架协议采购，全省联动。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636" w:type="dxa"/>
            <w:tcBorders>
              <w:top w:val="nil"/>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rPr>
              <w:t>23</w:t>
            </w:r>
          </w:p>
        </w:tc>
        <w:tc>
          <w:tcPr>
            <w:tcW w:w="1404"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rPr>
              <w:t>视频会议系统设备</w:t>
            </w:r>
          </w:p>
        </w:tc>
        <w:tc>
          <w:tcPr>
            <w:tcW w:w="1224"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rPr>
              <w:t>A020808</w:t>
            </w:r>
          </w:p>
        </w:tc>
        <w:tc>
          <w:tcPr>
            <w:tcW w:w="2196"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keepNext w:val="0"/>
              <w:keepLines w:val="0"/>
              <w:widowControl/>
              <w:suppressLineNumbers w:val="0"/>
              <w:spacing w:before="0" w:beforeAutospacing="0" w:after="0" w:afterAutospacing="0"/>
              <w:ind w:left="0" w:right="0" w:firstLine="0"/>
              <w:jc w:val="both"/>
              <w:rPr>
                <w:rFonts w:hint="eastAsia" w:ascii="宋体" w:hAnsi="宋体" w:eastAsia="宋体" w:cs="宋体"/>
                <w:i w:val="0"/>
                <w:iCs w:val="0"/>
                <w:caps w:val="0"/>
                <w:color w:val="333333"/>
                <w:spacing w:val="0"/>
                <w:sz w:val="24"/>
                <w:szCs w:val="24"/>
              </w:rPr>
            </w:pPr>
          </w:p>
        </w:tc>
        <w:tc>
          <w:tcPr>
            <w:tcW w:w="1944"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top"/>
          </w:tcPr>
          <w:p>
            <w:pPr>
              <w:keepNext w:val="0"/>
              <w:keepLines w:val="0"/>
              <w:widowControl/>
              <w:suppressLineNumbers w:val="0"/>
              <w:spacing w:before="0" w:beforeAutospacing="0" w:after="0" w:afterAutospacing="0"/>
              <w:ind w:left="0" w:right="0" w:firstLine="0"/>
              <w:jc w:val="both"/>
              <w:rPr>
                <w:rFonts w:hint="eastAsia" w:ascii="宋体" w:hAnsi="宋体" w:eastAsia="宋体" w:cs="宋体"/>
                <w:i w:val="0"/>
                <w:iCs w:val="0"/>
                <w:caps w:val="0"/>
                <w:color w:val="333333"/>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636" w:type="dxa"/>
            <w:tcBorders>
              <w:top w:val="nil"/>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rPr>
              <w:t>24</w:t>
            </w:r>
          </w:p>
        </w:tc>
        <w:tc>
          <w:tcPr>
            <w:tcW w:w="1404"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rPr>
              <w:t>家具用具</w:t>
            </w:r>
          </w:p>
        </w:tc>
        <w:tc>
          <w:tcPr>
            <w:tcW w:w="1224"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rPr>
              <w:t>A06</w:t>
            </w:r>
          </w:p>
        </w:tc>
        <w:tc>
          <w:tcPr>
            <w:tcW w:w="2196"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keepNext w:val="0"/>
              <w:keepLines w:val="0"/>
              <w:widowControl/>
              <w:suppressLineNumbers w:val="0"/>
              <w:spacing w:before="0" w:beforeAutospacing="0" w:after="0" w:afterAutospacing="0"/>
              <w:ind w:left="0" w:right="0" w:firstLine="0"/>
              <w:jc w:val="both"/>
              <w:rPr>
                <w:rFonts w:hint="eastAsia" w:ascii="宋体" w:hAnsi="宋体" w:eastAsia="宋体" w:cs="宋体"/>
                <w:i w:val="0"/>
                <w:iCs w:val="0"/>
                <w:caps w:val="0"/>
                <w:color w:val="333333"/>
                <w:spacing w:val="0"/>
                <w:sz w:val="24"/>
                <w:szCs w:val="24"/>
              </w:rPr>
            </w:pPr>
          </w:p>
        </w:tc>
        <w:tc>
          <w:tcPr>
            <w:tcW w:w="1944"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rPr>
              <w:t>小额零星采购实行框架协议采购，全省联动。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636" w:type="dxa"/>
            <w:tcBorders>
              <w:top w:val="nil"/>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rPr>
              <w:t>25</w:t>
            </w:r>
          </w:p>
        </w:tc>
        <w:tc>
          <w:tcPr>
            <w:tcW w:w="1404"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rPr>
              <w:t>复印纸</w:t>
            </w:r>
          </w:p>
        </w:tc>
        <w:tc>
          <w:tcPr>
            <w:tcW w:w="1224"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rPr>
              <w:t>A090101</w:t>
            </w:r>
          </w:p>
        </w:tc>
        <w:tc>
          <w:tcPr>
            <w:tcW w:w="2196"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keepNext w:val="0"/>
              <w:keepLines w:val="0"/>
              <w:widowControl/>
              <w:suppressLineNumbers w:val="0"/>
              <w:spacing w:before="0" w:beforeAutospacing="0" w:after="0" w:afterAutospacing="0"/>
              <w:ind w:left="0" w:right="0" w:firstLine="0"/>
              <w:jc w:val="both"/>
              <w:rPr>
                <w:rFonts w:hint="eastAsia" w:ascii="宋体" w:hAnsi="宋体" w:eastAsia="宋体" w:cs="宋体"/>
                <w:i w:val="0"/>
                <w:iCs w:val="0"/>
                <w:caps w:val="0"/>
                <w:color w:val="333333"/>
                <w:spacing w:val="0"/>
                <w:sz w:val="24"/>
                <w:szCs w:val="24"/>
              </w:rPr>
            </w:pPr>
          </w:p>
        </w:tc>
        <w:tc>
          <w:tcPr>
            <w:tcW w:w="1944"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top"/>
          </w:tcPr>
          <w:p>
            <w:pPr>
              <w:keepNext w:val="0"/>
              <w:keepLines w:val="0"/>
              <w:widowControl/>
              <w:suppressLineNumbers w:val="0"/>
              <w:spacing w:before="0" w:beforeAutospacing="0" w:after="0" w:afterAutospacing="0"/>
              <w:ind w:left="0" w:right="0" w:firstLine="0"/>
              <w:jc w:val="both"/>
              <w:rPr>
                <w:rFonts w:hint="eastAsia" w:ascii="宋体" w:hAnsi="宋体" w:eastAsia="宋体" w:cs="宋体"/>
                <w:i w:val="0"/>
                <w:iCs w:val="0"/>
                <w:caps w:val="0"/>
                <w:color w:val="333333"/>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PrEx>
        <w:tc>
          <w:tcPr>
            <w:tcW w:w="636" w:type="dxa"/>
            <w:tcBorders>
              <w:top w:val="nil"/>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rPr>
              <w:t>26</w:t>
            </w:r>
          </w:p>
        </w:tc>
        <w:tc>
          <w:tcPr>
            <w:tcW w:w="1404"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rPr>
              <w:t>科学研究和试验开发</w:t>
            </w:r>
          </w:p>
        </w:tc>
        <w:tc>
          <w:tcPr>
            <w:tcW w:w="1224"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rPr>
              <w:t>C01</w:t>
            </w:r>
          </w:p>
        </w:tc>
        <w:tc>
          <w:tcPr>
            <w:tcW w:w="2196"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keepNext w:val="0"/>
              <w:keepLines w:val="0"/>
              <w:widowControl/>
              <w:suppressLineNumbers w:val="0"/>
              <w:spacing w:before="0" w:beforeAutospacing="0" w:after="0" w:afterAutospacing="0"/>
              <w:ind w:left="0" w:right="0" w:firstLine="0"/>
              <w:jc w:val="both"/>
              <w:rPr>
                <w:rFonts w:hint="eastAsia" w:ascii="宋体" w:hAnsi="宋体" w:eastAsia="宋体" w:cs="宋体"/>
                <w:i w:val="0"/>
                <w:iCs w:val="0"/>
                <w:caps w:val="0"/>
                <w:color w:val="333333"/>
                <w:spacing w:val="0"/>
                <w:sz w:val="24"/>
                <w:szCs w:val="24"/>
              </w:rPr>
            </w:pPr>
          </w:p>
        </w:tc>
        <w:tc>
          <w:tcPr>
            <w:tcW w:w="1944"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top"/>
          </w:tcPr>
          <w:p>
            <w:pPr>
              <w:keepNext w:val="0"/>
              <w:keepLines w:val="0"/>
              <w:widowControl/>
              <w:suppressLineNumbers w:val="0"/>
              <w:spacing w:before="0" w:beforeAutospacing="0" w:after="0" w:afterAutospacing="0"/>
              <w:ind w:left="0" w:right="0" w:firstLine="0"/>
              <w:jc w:val="both"/>
              <w:rPr>
                <w:rFonts w:hint="eastAsia" w:ascii="宋体" w:hAnsi="宋体" w:eastAsia="宋体" w:cs="宋体"/>
                <w:i w:val="0"/>
                <w:iCs w:val="0"/>
                <w:caps w:val="0"/>
                <w:color w:val="333333"/>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636" w:type="dxa"/>
            <w:tcBorders>
              <w:top w:val="nil"/>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rPr>
              <w:t>27</w:t>
            </w:r>
          </w:p>
        </w:tc>
        <w:tc>
          <w:tcPr>
            <w:tcW w:w="1404"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rPr>
              <w:t>软件开发服务</w:t>
            </w:r>
          </w:p>
        </w:tc>
        <w:tc>
          <w:tcPr>
            <w:tcW w:w="1224"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rPr>
              <w:t>C0201</w:t>
            </w:r>
          </w:p>
        </w:tc>
        <w:tc>
          <w:tcPr>
            <w:tcW w:w="2196"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rPr>
              <w:t>指为用户提供开发、应用信息技术的服务，以及以信息技术为手段支持用户业务活动的服务。</w:t>
            </w:r>
          </w:p>
        </w:tc>
        <w:tc>
          <w:tcPr>
            <w:tcW w:w="1944"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top"/>
          </w:tcPr>
          <w:p>
            <w:pPr>
              <w:keepNext w:val="0"/>
              <w:keepLines w:val="0"/>
              <w:widowControl/>
              <w:suppressLineNumbers w:val="0"/>
              <w:spacing w:before="0" w:beforeAutospacing="0" w:after="0" w:afterAutospacing="0"/>
              <w:ind w:left="0" w:right="0" w:firstLine="0"/>
              <w:jc w:val="both"/>
              <w:rPr>
                <w:rFonts w:hint="eastAsia" w:ascii="宋体" w:hAnsi="宋体" w:eastAsia="宋体" w:cs="宋体"/>
                <w:i w:val="0"/>
                <w:iCs w:val="0"/>
                <w:caps w:val="0"/>
                <w:color w:val="333333"/>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636" w:type="dxa"/>
            <w:tcBorders>
              <w:top w:val="nil"/>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rPr>
              <w:t>28</w:t>
            </w:r>
          </w:p>
        </w:tc>
        <w:tc>
          <w:tcPr>
            <w:tcW w:w="1404"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rPr>
              <w:t>信息系统集成实施服务</w:t>
            </w:r>
          </w:p>
        </w:tc>
        <w:tc>
          <w:tcPr>
            <w:tcW w:w="1224"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rPr>
              <w:t>C0202</w:t>
            </w:r>
          </w:p>
        </w:tc>
        <w:tc>
          <w:tcPr>
            <w:tcW w:w="2196"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rPr>
              <w:t>指通过结构化的综合布线系统和计算机网络计划，将各个分享的设备、功能和信息等集成到相互关联的、统一协调的系统之中的服务。</w:t>
            </w:r>
          </w:p>
        </w:tc>
        <w:tc>
          <w:tcPr>
            <w:tcW w:w="1944"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top"/>
          </w:tcPr>
          <w:p>
            <w:pPr>
              <w:keepNext w:val="0"/>
              <w:keepLines w:val="0"/>
              <w:widowControl/>
              <w:suppressLineNumbers w:val="0"/>
              <w:spacing w:before="0" w:beforeAutospacing="0" w:after="0" w:afterAutospacing="0"/>
              <w:ind w:left="0" w:right="0" w:firstLine="0"/>
              <w:jc w:val="both"/>
              <w:rPr>
                <w:rFonts w:hint="eastAsia" w:ascii="宋体" w:hAnsi="宋体" w:eastAsia="宋体" w:cs="宋体"/>
                <w:i w:val="0"/>
                <w:iCs w:val="0"/>
                <w:caps w:val="0"/>
                <w:color w:val="333333"/>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636" w:type="dxa"/>
            <w:tcBorders>
              <w:top w:val="nil"/>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rPr>
              <w:t>29</w:t>
            </w:r>
          </w:p>
        </w:tc>
        <w:tc>
          <w:tcPr>
            <w:tcW w:w="1404"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rPr>
              <w:t>运行维护服务</w:t>
            </w:r>
          </w:p>
        </w:tc>
        <w:tc>
          <w:tcPr>
            <w:tcW w:w="1224"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rPr>
              <w:t>C0206</w:t>
            </w:r>
          </w:p>
        </w:tc>
        <w:tc>
          <w:tcPr>
            <w:tcW w:w="2196"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rPr>
              <w:t>指为满足信息系统正常运行及优化改进的要求，对用户信息系统的基础环境、硬件、软件及安排等提供的各种技术支持和管理服务。</w:t>
            </w:r>
          </w:p>
        </w:tc>
        <w:tc>
          <w:tcPr>
            <w:tcW w:w="1944"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top"/>
          </w:tcPr>
          <w:p>
            <w:pPr>
              <w:keepNext w:val="0"/>
              <w:keepLines w:val="0"/>
              <w:widowControl/>
              <w:suppressLineNumbers w:val="0"/>
              <w:spacing w:before="0" w:beforeAutospacing="0" w:after="0" w:afterAutospacing="0"/>
              <w:ind w:left="0" w:right="0" w:firstLine="0"/>
              <w:jc w:val="both"/>
              <w:rPr>
                <w:rFonts w:hint="eastAsia" w:ascii="宋体" w:hAnsi="宋体" w:eastAsia="宋体" w:cs="宋体"/>
                <w:i w:val="0"/>
                <w:iCs w:val="0"/>
                <w:caps w:val="0"/>
                <w:color w:val="333333"/>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384" w:hRule="atLeast"/>
        </w:trPr>
        <w:tc>
          <w:tcPr>
            <w:tcW w:w="636" w:type="dxa"/>
            <w:tcBorders>
              <w:top w:val="nil"/>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rPr>
              <w:t>30</w:t>
            </w:r>
          </w:p>
        </w:tc>
        <w:tc>
          <w:tcPr>
            <w:tcW w:w="1404"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rPr>
              <w:t>互联网接入服务</w:t>
            </w:r>
          </w:p>
        </w:tc>
        <w:tc>
          <w:tcPr>
            <w:tcW w:w="1224"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rPr>
              <w:t>C030102</w:t>
            </w:r>
          </w:p>
        </w:tc>
        <w:tc>
          <w:tcPr>
            <w:tcW w:w="2196"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keepNext w:val="0"/>
              <w:keepLines w:val="0"/>
              <w:widowControl/>
              <w:suppressLineNumbers w:val="0"/>
              <w:spacing w:before="0" w:beforeAutospacing="0" w:after="0" w:afterAutospacing="0"/>
              <w:ind w:left="0" w:right="0" w:firstLine="0"/>
              <w:jc w:val="both"/>
              <w:rPr>
                <w:rFonts w:hint="eastAsia" w:ascii="宋体" w:hAnsi="宋体" w:eastAsia="宋体" w:cs="宋体"/>
                <w:i w:val="0"/>
                <w:iCs w:val="0"/>
                <w:caps w:val="0"/>
                <w:color w:val="333333"/>
                <w:spacing w:val="0"/>
                <w:sz w:val="24"/>
                <w:szCs w:val="24"/>
              </w:rPr>
            </w:pPr>
          </w:p>
        </w:tc>
        <w:tc>
          <w:tcPr>
            <w:tcW w:w="1944"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top"/>
          </w:tcPr>
          <w:p>
            <w:pPr>
              <w:keepNext w:val="0"/>
              <w:keepLines w:val="0"/>
              <w:widowControl/>
              <w:suppressLineNumbers w:val="0"/>
              <w:spacing w:before="0" w:beforeAutospacing="0" w:after="0" w:afterAutospacing="0"/>
              <w:ind w:left="0" w:right="0" w:firstLine="0"/>
              <w:jc w:val="both"/>
              <w:rPr>
                <w:rFonts w:hint="eastAsia" w:ascii="宋体" w:hAnsi="宋体" w:eastAsia="宋体" w:cs="宋体"/>
                <w:i w:val="0"/>
                <w:iCs w:val="0"/>
                <w:caps w:val="0"/>
                <w:color w:val="333333"/>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384" w:hRule="atLeast"/>
        </w:trPr>
        <w:tc>
          <w:tcPr>
            <w:tcW w:w="636" w:type="dxa"/>
            <w:tcBorders>
              <w:top w:val="nil"/>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rPr>
              <w:t>31</w:t>
            </w:r>
          </w:p>
        </w:tc>
        <w:tc>
          <w:tcPr>
            <w:tcW w:w="1404"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rPr>
              <w:t>云计算服务</w:t>
            </w:r>
          </w:p>
        </w:tc>
        <w:tc>
          <w:tcPr>
            <w:tcW w:w="1224"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rPr>
              <w:t>C0399</w:t>
            </w:r>
          </w:p>
        </w:tc>
        <w:tc>
          <w:tcPr>
            <w:tcW w:w="2196"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rPr>
              <w:t>包括云主机、块存储、对象存储等，系统集成项目除外。</w:t>
            </w:r>
          </w:p>
        </w:tc>
        <w:tc>
          <w:tcPr>
            <w:tcW w:w="1944"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top"/>
          </w:tcPr>
          <w:p>
            <w:pPr>
              <w:keepNext w:val="0"/>
              <w:keepLines w:val="0"/>
              <w:widowControl/>
              <w:suppressLineNumbers w:val="0"/>
              <w:spacing w:before="0" w:beforeAutospacing="0" w:after="0" w:afterAutospacing="0"/>
              <w:ind w:left="0" w:right="0" w:firstLine="0"/>
              <w:jc w:val="both"/>
              <w:rPr>
                <w:rFonts w:hint="eastAsia" w:ascii="宋体" w:hAnsi="宋体" w:eastAsia="宋体" w:cs="宋体"/>
                <w:i w:val="0"/>
                <w:iCs w:val="0"/>
                <w:caps w:val="0"/>
                <w:color w:val="333333"/>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252" w:hRule="atLeast"/>
        </w:trPr>
        <w:tc>
          <w:tcPr>
            <w:tcW w:w="636" w:type="dxa"/>
            <w:tcBorders>
              <w:top w:val="nil"/>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rPr>
              <w:t>32</w:t>
            </w:r>
          </w:p>
        </w:tc>
        <w:tc>
          <w:tcPr>
            <w:tcW w:w="1404"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rPr>
              <w:t>车辆维修和保养服务</w:t>
            </w:r>
          </w:p>
        </w:tc>
        <w:tc>
          <w:tcPr>
            <w:tcW w:w="1224"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rPr>
              <w:t>C050301</w:t>
            </w:r>
          </w:p>
        </w:tc>
        <w:tc>
          <w:tcPr>
            <w:tcW w:w="2196"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keepNext w:val="0"/>
              <w:keepLines w:val="0"/>
              <w:widowControl/>
              <w:suppressLineNumbers w:val="0"/>
              <w:spacing w:before="0" w:beforeAutospacing="0" w:after="0" w:afterAutospacing="0"/>
              <w:ind w:left="0" w:right="0" w:firstLine="0"/>
              <w:jc w:val="both"/>
              <w:rPr>
                <w:rFonts w:hint="eastAsia" w:ascii="宋体" w:hAnsi="宋体" w:eastAsia="宋体" w:cs="宋体"/>
                <w:i w:val="0"/>
                <w:iCs w:val="0"/>
                <w:caps w:val="0"/>
                <w:color w:val="333333"/>
                <w:spacing w:val="0"/>
                <w:sz w:val="24"/>
                <w:szCs w:val="24"/>
              </w:rPr>
            </w:pPr>
          </w:p>
        </w:tc>
        <w:tc>
          <w:tcPr>
            <w:tcW w:w="1944"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rPr>
              <w:t>省本级小额零星采购实行框架协议采购。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636" w:type="dxa"/>
            <w:tcBorders>
              <w:top w:val="nil"/>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rPr>
              <w:t>33</w:t>
            </w:r>
          </w:p>
        </w:tc>
        <w:tc>
          <w:tcPr>
            <w:tcW w:w="1404"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rPr>
              <w:t>车辆加油服务</w:t>
            </w:r>
          </w:p>
        </w:tc>
        <w:tc>
          <w:tcPr>
            <w:tcW w:w="1224"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rPr>
              <w:t>C050302</w:t>
            </w:r>
          </w:p>
        </w:tc>
        <w:tc>
          <w:tcPr>
            <w:tcW w:w="2196"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keepNext w:val="0"/>
              <w:keepLines w:val="0"/>
              <w:widowControl/>
              <w:suppressLineNumbers w:val="0"/>
              <w:spacing w:before="0" w:beforeAutospacing="0" w:after="0" w:afterAutospacing="0"/>
              <w:ind w:left="0" w:right="0" w:firstLine="0"/>
              <w:jc w:val="both"/>
              <w:rPr>
                <w:rFonts w:hint="eastAsia" w:ascii="宋体" w:hAnsi="宋体" w:eastAsia="宋体" w:cs="宋体"/>
                <w:i w:val="0"/>
                <w:iCs w:val="0"/>
                <w:caps w:val="0"/>
                <w:color w:val="333333"/>
                <w:spacing w:val="0"/>
                <w:sz w:val="24"/>
                <w:szCs w:val="24"/>
              </w:rPr>
            </w:pPr>
          </w:p>
        </w:tc>
        <w:tc>
          <w:tcPr>
            <w:tcW w:w="1944"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rPr>
              <w:t>小额零星采购实行框架协议采购，全省联动。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636" w:type="dxa"/>
            <w:tcBorders>
              <w:top w:val="nil"/>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rPr>
              <w:t>34</w:t>
            </w:r>
          </w:p>
        </w:tc>
        <w:tc>
          <w:tcPr>
            <w:tcW w:w="1404"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rPr>
              <w:t>会议服务</w:t>
            </w:r>
          </w:p>
        </w:tc>
        <w:tc>
          <w:tcPr>
            <w:tcW w:w="1224"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rPr>
              <w:t>C0601</w:t>
            </w:r>
          </w:p>
        </w:tc>
        <w:tc>
          <w:tcPr>
            <w:tcW w:w="2196"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keepNext w:val="0"/>
              <w:keepLines w:val="0"/>
              <w:widowControl/>
              <w:suppressLineNumbers w:val="0"/>
              <w:spacing w:before="0" w:beforeAutospacing="0" w:after="0" w:afterAutospacing="0"/>
              <w:ind w:left="0" w:right="0" w:firstLine="0"/>
              <w:jc w:val="both"/>
              <w:rPr>
                <w:rFonts w:hint="eastAsia" w:ascii="宋体" w:hAnsi="宋体" w:eastAsia="宋体" w:cs="宋体"/>
                <w:i w:val="0"/>
                <w:iCs w:val="0"/>
                <w:caps w:val="0"/>
                <w:color w:val="333333"/>
                <w:spacing w:val="0"/>
                <w:sz w:val="24"/>
                <w:szCs w:val="24"/>
              </w:rPr>
            </w:pPr>
          </w:p>
        </w:tc>
        <w:tc>
          <w:tcPr>
            <w:tcW w:w="1944"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rPr>
              <w:t>执行现行定点采购协议。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636" w:type="dxa"/>
            <w:tcBorders>
              <w:top w:val="nil"/>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rPr>
              <w:t>35</w:t>
            </w:r>
          </w:p>
        </w:tc>
        <w:tc>
          <w:tcPr>
            <w:tcW w:w="1404"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rPr>
              <w:t>审计服务</w:t>
            </w:r>
          </w:p>
        </w:tc>
        <w:tc>
          <w:tcPr>
            <w:tcW w:w="1224"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rPr>
              <w:t>C0803</w:t>
            </w:r>
          </w:p>
        </w:tc>
        <w:tc>
          <w:tcPr>
            <w:tcW w:w="2196"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keepNext w:val="0"/>
              <w:keepLines w:val="0"/>
              <w:widowControl/>
              <w:suppressLineNumbers w:val="0"/>
              <w:spacing w:before="0" w:beforeAutospacing="0" w:after="0" w:afterAutospacing="0"/>
              <w:ind w:left="0" w:right="0" w:firstLine="0"/>
              <w:jc w:val="both"/>
              <w:rPr>
                <w:rFonts w:hint="eastAsia" w:ascii="宋体" w:hAnsi="宋体" w:eastAsia="宋体" w:cs="宋体"/>
                <w:i w:val="0"/>
                <w:iCs w:val="0"/>
                <w:caps w:val="0"/>
                <w:color w:val="333333"/>
                <w:spacing w:val="0"/>
                <w:sz w:val="24"/>
                <w:szCs w:val="24"/>
              </w:rPr>
            </w:pPr>
          </w:p>
        </w:tc>
        <w:tc>
          <w:tcPr>
            <w:tcW w:w="1944"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rPr>
              <w:t>省本级小额零星采购实行框架协议采购。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636" w:type="dxa"/>
            <w:tcBorders>
              <w:top w:val="nil"/>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rPr>
              <w:t>36</w:t>
            </w:r>
          </w:p>
        </w:tc>
        <w:tc>
          <w:tcPr>
            <w:tcW w:w="1404"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rPr>
              <w:t>印刷服务</w:t>
            </w:r>
          </w:p>
        </w:tc>
        <w:tc>
          <w:tcPr>
            <w:tcW w:w="1224"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rPr>
              <w:t>C081401</w:t>
            </w:r>
          </w:p>
        </w:tc>
        <w:tc>
          <w:tcPr>
            <w:tcW w:w="2196"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rPr>
              <w:t>指本单位不能承担的票据、证书、期刊、文件、公文用纸、资料汇编、信封等印刷业务，不包括出版服务。</w:t>
            </w:r>
          </w:p>
        </w:tc>
        <w:tc>
          <w:tcPr>
            <w:tcW w:w="1944"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rPr>
              <w:t>省本级小额零星采购实行框架协议采购。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636" w:type="dxa"/>
            <w:tcBorders>
              <w:top w:val="nil"/>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rPr>
              <w:t>37</w:t>
            </w:r>
          </w:p>
        </w:tc>
        <w:tc>
          <w:tcPr>
            <w:tcW w:w="1404"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rPr>
              <w:t>物业管理服务</w:t>
            </w:r>
          </w:p>
        </w:tc>
        <w:tc>
          <w:tcPr>
            <w:tcW w:w="1224"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rPr>
              <w:t>C1204</w:t>
            </w:r>
          </w:p>
        </w:tc>
        <w:tc>
          <w:tcPr>
            <w:tcW w:w="2196"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keepNext w:val="0"/>
              <w:keepLines w:val="0"/>
              <w:widowControl/>
              <w:suppressLineNumbers w:val="0"/>
              <w:spacing w:before="0" w:beforeAutospacing="0" w:after="0" w:afterAutospacing="0"/>
              <w:ind w:left="0" w:right="0" w:firstLine="0"/>
              <w:jc w:val="both"/>
              <w:rPr>
                <w:rFonts w:hint="eastAsia" w:ascii="宋体" w:hAnsi="宋体" w:eastAsia="宋体" w:cs="宋体"/>
                <w:i w:val="0"/>
                <w:iCs w:val="0"/>
                <w:caps w:val="0"/>
                <w:color w:val="333333"/>
                <w:spacing w:val="0"/>
                <w:sz w:val="24"/>
                <w:szCs w:val="24"/>
              </w:rPr>
            </w:pPr>
          </w:p>
        </w:tc>
        <w:tc>
          <w:tcPr>
            <w:tcW w:w="1944"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rPr>
              <w:t>省本级200万元以下执行现行定点采购协议。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864" w:hRule="atLeast"/>
        </w:trPr>
        <w:tc>
          <w:tcPr>
            <w:tcW w:w="636" w:type="dxa"/>
            <w:tcBorders>
              <w:top w:val="nil"/>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rPr>
              <w:t>38</w:t>
            </w:r>
          </w:p>
        </w:tc>
        <w:tc>
          <w:tcPr>
            <w:tcW w:w="1404"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rPr>
              <w:t>机动车保险服务</w:t>
            </w:r>
          </w:p>
        </w:tc>
        <w:tc>
          <w:tcPr>
            <w:tcW w:w="1224"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rPr>
              <w:t>C15040201</w:t>
            </w:r>
          </w:p>
        </w:tc>
        <w:tc>
          <w:tcPr>
            <w:tcW w:w="2196"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rPr>
              <w:t>包括机动车交通事故责任强制保险服务和机动车辆保险服务等。</w:t>
            </w:r>
          </w:p>
        </w:tc>
        <w:tc>
          <w:tcPr>
            <w:tcW w:w="1944"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rPr>
              <w:t>小额零星采购实行框架协议采购，全省联动。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864" w:hRule="atLeast"/>
        </w:trPr>
        <w:tc>
          <w:tcPr>
            <w:tcW w:w="636" w:type="dxa"/>
            <w:tcBorders>
              <w:top w:val="nil"/>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rPr>
              <w:t>39</w:t>
            </w:r>
          </w:p>
        </w:tc>
        <w:tc>
          <w:tcPr>
            <w:tcW w:w="1404"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rPr>
              <w:t>出租车客运服务</w:t>
            </w:r>
          </w:p>
        </w:tc>
        <w:tc>
          <w:tcPr>
            <w:tcW w:w="1224"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rPr>
              <w:t>C170303</w:t>
            </w:r>
          </w:p>
        </w:tc>
        <w:tc>
          <w:tcPr>
            <w:tcW w:w="2196"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rPr>
              <w:t>指司机驾驶出租车提供的客运，包括轿车出租客运服务和客车出租客运服务。</w:t>
            </w:r>
          </w:p>
        </w:tc>
        <w:tc>
          <w:tcPr>
            <w:tcW w:w="1944"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rPr>
              <w:t>省本级小额零星采购执行现行乘用车租赁服务定点采购协议。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864" w:hRule="atLeast"/>
        </w:trPr>
        <w:tc>
          <w:tcPr>
            <w:tcW w:w="636" w:type="dxa"/>
            <w:tcBorders>
              <w:top w:val="nil"/>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jc w:val="center"/>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rPr>
              <w:t>40</w:t>
            </w:r>
          </w:p>
        </w:tc>
        <w:tc>
          <w:tcPr>
            <w:tcW w:w="1404"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rPr>
              <w:t>预算绩效管理服务</w:t>
            </w:r>
          </w:p>
        </w:tc>
        <w:tc>
          <w:tcPr>
            <w:tcW w:w="1224"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rPr>
              <w:t>C0899</w:t>
            </w:r>
          </w:p>
        </w:tc>
        <w:tc>
          <w:tcPr>
            <w:tcW w:w="2196"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keepNext w:val="0"/>
              <w:keepLines w:val="0"/>
              <w:widowControl/>
              <w:suppressLineNumbers w:val="0"/>
              <w:spacing w:before="0" w:beforeAutospacing="0" w:after="0" w:afterAutospacing="0"/>
              <w:ind w:left="0" w:right="0" w:firstLine="0"/>
              <w:jc w:val="both"/>
              <w:rPr>
                <w:rFonts w:hint="eastAsia" w:ascii="宋体" w:hAnsi="宋体" w:eastAsia="宋体" w:cs="宋体"/>
                <w:i w:val="0"/>
                <w:iCs w:val="0"/>
                <w:caps w:val="0"/>
                <w:color w:val="333333"/>
                <w:spacing w:val="0"/>
                <w:sz w:val="24"/>
                <w:szCs w:val="24"/>
              </w:rPr>
            </w:pPr>
          </w:p>
        </w:tc>
        <w:tc>
          <w:tcPr>
            <w:tcW w:w="1944"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rPr>
              <w:t>省本级小额零星采购实行框架协议采购。</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4" w:lineRule="atLeast"/>
        <w:ind w:left="0" w:right="0" w:firstLine="336"/>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备注：①本目录的编码和品目根据财政部《政府采购品目分类目录》（财库〔2013〕189号）制定和解释。②目录以内未实行框架协议采购的货物类小额零星采购，按照政府采购网上商城的有关规定执行。框架协议采购和网上商城不能满足需求或者通过其他采购方式价格更低或服务更优的，采购人可按照框架协议采购相关规定、预算支出管理规定和本单位内部控制制度自行采购。③高校、科研院所采购科研仪器设备不适用以上集中采购目录，具体按照《江苏省财政厅关于完善省属高校和科研院所科研仪器设备采购管理有关事项的通知》（苏财购〔2017〕53号）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4" w:lineRule="atLeast"/>
        <w:ind w:left="0" w:right="0" w:firstLine="516"/>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二、分散采购限额标准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4" w:lineRule="atLeast"/>
        <w:ind w:left="0" w:right="0" w:firstLine="516"/>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集中采购目录以外，采购人采购单项或批量金额达到分散采购限额标准的项目，应当按照《中华人民共和国政府采购法》有关规定实行分散采购。全省分散采购限额标准为：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4" w:lineRule="atLeast"/>
        <w:ind w:left="0" w:right="0" w:firstLine="516"/>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货物、服务类项目：省本级、南京市本级100万元；其他设区市本级、常熟市、张家港市、昆山市、太仓市50万元；其他县（市、区）30万元。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4" w:lineRule="atLeast"/>
        <w:ind w:left="0" w:right="0" w:firstLine="516"/>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工程类项目：省本级100万元，设区市、县级60万元。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4" w:lineRule="atLeast"/>
        <w:ind w:left="0" w:right="0" w:firstLine="516"/>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集中采购目录以外且分散采购限额标准以下的采购项目（包括政府购买服务项目），不执行政府采购法规定的方式和程序，由采购人按照相关预算支出管理规定和本单位内控制度自行组织实施。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4" w:lineRule="atLeast"/>
        <w:ind w:left="0" w:right="0" w:firstLine="516"/>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三、公开招标数额标准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4" w:lineRule="atLeast"/>
        <w:ind w:left="0" w:right="0" w:firstLine="516"/>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采购人采购货物、服务项目单项或批量采购金额在400万元以上的，应当采用公开招标方式；采购金额在400万元以下的，由采购人依法自行选择采购方式。采购金额在400万元以上、符合其他法定采购方式适用情形的，采购人可经财政部门批准后采用非公开招标方式采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4" w:lineRule="atLeast"/>
        <w:ind w:left="0" w:right="0" w:firstLine="516"/>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政府采购工程项目公开招标数额标准按照国务院有关规定执行。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4" w:lineRule="atLeast"/>
        <w:ind w:left="0" w:right="0" w:firstLine="516"/>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四、有关说明和要求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4" w:lineRule="atLeast"/>
        <w:ind w:left="0" w:right="0" w:firstLine="516"/>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（一）关于集中采购项目的实施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4" w:lineRule="atLeast"/>
        <w:ind w:left="0" w:right="0" w:firstLine="516"/>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对集中采购目录内采购项目，采购金额达到分散采购限额标准的，采购人应当依法委托集中采购机构代理采购。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4" w:lineRule="atLeast"/>
        <w:ind w:left="0" w:right="0" w:firstLine="516"/>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各级采购人可以不受行政区域、预算管理级次所限，自主择优委托省内集采机构组织开展集中采购活动。鼓励集采机构积极承接不同级次、不同地区采购人的代理业务。各级财政部门要将集采机构跨级、跨地区接受采购人委托情况纳入集采机构年度工作考核范围，督促同级集采机构积极开展竞争。集采机构要加强专业能力建设，适应竞争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4" w:lineRule="atLeast"/>
        <w:ind w:left="0" w:right="0" w:firstLine="516"/>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对于供应标准统一的产品和服务，各级集采机构可通过联合采购统一谈判确定价格。对于统一配备标准的办公设备或采购人有共性需求的产品和服务，集采机构可组织采购人联合开展集中带量采购，发挥规模优势，降低采购成本，提高采购效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4" w:lineRule="atLeast"/>
        <w:ind w:left="0" w:right="0" w:firstLine="516"/>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（二）关于分散采购项目的实施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4" w:lineRule="atLeast"/>
        <w:ind w:left="0" w:right="0" w:firstLine="516"/>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分散采购项目可由采购人委托采购代理机构代理采购，也可自行组织采购。委托社会代理机构代理采购的，采购人应当在省级财政部门公布的政府采购代理机构名录中择优委托具备相应专业能力的社会代理机构代理采购；自行组织采购的，采购人应具备相应人员、能力和条件，并依法采用适宜的采购方式。采购金额大、社会关注度高、与社会公共利益或公共安全关系密切的重大分散采购项目，采购人可商请委托具备相应专业能力的集采机构代理采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4" w:lineRule="atLeast"/>
        <w:ind w:left="0" w:right="0" w:firstLine="516"/>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（三）关于政府采购政策功能的落实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4" w:lineRule="atLeast"/>
        <w:ind w:left="0" w:right="0" w:firstLine="516"/>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政府采购活动应当严格执行《中华人民共和国政府采购法》及有关法规制度规定，落实政府采购支持创新、绿色发展、中小企业发展等政策目标。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4" w:lineRule="atLeast"/>
        <w:ind w:left="0" w:right="0" w:firstLine="516"/>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（四）关于部门集中采购目录的确定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4" w:lineRule="atLeast"/>
        <w:ind w:left="0" w:right="0" w:firstLine="516"/>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本部门或系统有特殊要求，需要由本部门或系统统一采购的货物、工程和服务类专用项目，属于部门集中采购项目，由各主管部门结合自身业务特点，自行确定本部门集中采购目录范围，由设区市、县级财政部门汇总并报省财政厅备案后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4" w:lineRule="atLeast"/>
        <w:ind w:left="0" w:right="0" w:firstLine="516"/>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（五）关于框架协议采购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4" w:lineRule="atLeast"/>
        <w:ind w:left="0" w:right="0" w:firstLine="516"/>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各地区、各部门应严格按照《政府采购框架协议采购方式管理暂行办法》（财政部令第110号）等规定开展框架协议采购工作。除实行全省联动框架协议采购的品目外，各设区市财政部门可依据采购人实际需要确定集中采购目录内其他实行框架协议采购的品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4" w:lineRule="atLeast"/>
        <w:ind w:left="0" w:right="0" w:firstLine="516"/>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（六）关于采购进口产品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4" w:lineRule="atLeast"/>
        <w:ind w:left="0" w:right="0" w:firstLine="516"/>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政府采购应当采购本国货物、工程和服务。确需采购进口产品的，采购人应当在采购活动开始前向设区市以上财政部门提出申请并经审核同意后，开展采购活动。高校、科研院所采购进口科研仪器设备实行备案制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4" w:lineRule="atLeast"/>
        <w:ind w:left="0" w:right="0" w:firstLine="516"/>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（七）关于政府采购工程的管理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4" w:lineRule="atLeast"/>
        <w:ind w:left="0" w:right="0" w:firstLine="516"/>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政府采购工程以及与工程建设有关的货物和服务，依法采用招标方式的，执行招标投标法，按照工程招标投标活动监管有关职责分工，由相应行业主管部门监管；依法不进行招标的，应当采用竞争性谈判、竞争性磋商或者单一来源方式采购，由财政部门监管。所有政府采购工程以及与工程建设有关的货物和服务，在执行中均应当落实政府采购政策要求（包括编制预算、公开采购意向、编制采购实施计划、执行支持中小企业发展等政府采购政策功能、备案政府采购合同、纳入政府采购统计范围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4" w:lineRule="atLeast"/>
        <w:ind w:left="0" w:right="0" w:firstLine="516"/>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（八）关于涉密采购项目的实施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4" w:lineRule="atLeast"/>
        <w:ind w:left="0" w:right="0" w:firstLine="516"/>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涉密采购项目应当按照省财政厅、省国家保密局《关于转发财政部 国家保密局〈涉密政府采购管理暂行办法〉的通知》（苏财购〔2019〕43号）规定执行。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4" w:lineRule="atLeast"/>
        <w:ind w:left="0" w:right="0" w:firstLine="516"/>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（九）关于宁外省级单位采购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4" w:lineRule="atLeast"/>
        <w:ind w:left="0" w:right="0" w:firstLine="516"/>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宁外省级单位应当执行本目录及省级分散采购限额标准，集中采购项目可自主择优委托当地集采机构、省政府采购中心或其他省内集采机构开展采购；省外省级单位原则上实行分散采购。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4" w:lineRule="atLeast"/>
        <w:ind w:left="0" w:right="0" w:firstLine="516"/>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五、其他事项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4" w:lineRule="atLeast"/>
        <w:ind w:left="0" w:right="0" w:firstLine="516"/>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（一）本通知所称“以上”包括本数，“以下”不包括本数；如无特殊说明，金额均指预算金额。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4" w:lineRule="atLeast"/>
        <w:ind w:left="0" w:right="0" w:firstLine="516"/>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（二）根据财政部关于框架协议采购有关要求，本通知所称“小额零星采购”指采购人需要多频次采购且单笔采购金额未达到分散采购限额标准的采购行为。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4" w:lineRule="atLeast"/>
        <w:ind w:left="0" w:right="0" w:firstLine="516"/>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（三）集中采购目录及采购限额标准由省财政厅负责解释，如因政策调整需要修改、完善的，将另行通知。</w:t>
      </w:r>
    </w:p>
    <w:p>
      <w:pPr>
        <w:rPr>
          <w:rFonts w:hint="eastAsia" w:ascii="宋体" w:hAnsi="宋体" w:eastAsia="宋体" w:cs="宋体"/>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8"/>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UxZWExNDAyM2U1YjAyY2VhODI0ZTUxOWYyNjdhZjQifQ=="/>
  </w:docVars>
  <w:rsids>
    <w:rsidRoot w:val="00000000"/>
    <w:rsid w:val="2782286D"/>
    <w:rsid w:val="52D42C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3659</Words>
  <Characters>3992</Characters>
  <Lines>0</Lines>
  <Paragraphs>0</Paragraphs>
  <TotalTime>1</TotalTime>
  <ScaleCrop>false</ScaleCrop>
  <LinksUpToDate>false</LinksUpToDate>
  <CharactersWithSpaces>3998</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W</dc:creator>
  <cp:lastModifiedBy>City Hunter</cp:lastModifiedBy>
  <dcterms:modified xsi:type="dcterms:W3CDTF">2022-11-17T00:14:04Z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EEABD8DE270E4694AD1CCD93C78F3673</vt:lpwstr>
  </property>
</Properties>
</file>