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cs="华文楷体" w:asciiTheme="minorEastAsia" w:hAnsiTheme="minorEastAsia" w:eastAsiaTheme="minorEastAsia"/>
          <w:b/>
          <w:color w:val="000000" w:themeColor="text1"/>
          <w:sz w:val="52"/>
          <w:szCs w:val="52"/>
        </w:rPr>
      </w:pPr>
    </w:p>
    <w:p>
      <w:pPr>
        <w:jc w:val="center"/>
        <w:rPr>
          <w:rFonts w:cs="华文楷体" w:asciiTheme="minorEastAsia" w:hAnsiTheme="minorEastAsia" w:eastAsiaTheme="minorEastAsia"/>
          <w:b/>
          <w:color w:val="000000" w:themeColor="text1"/>
          <w:sz w:val="52"/>
          <w:szCs w:val="52"/>
        </w:rPr>
      </w:pPr>
      <w:r>
        <w:rPr>
          <w:rFonts w:hint="eastAsia" w:cs="华文楷体" w:asciiTheme="minorEastAsia" w:hAnsiTheme="minorEastAsia" w:eastAsiaTheme="minorEastAsia"/>
          <w:b/>
          <w:color w:val="000000" w:themeColor="text1"/>
          <w:sz w:val="52"/>
          <w:szCs w:val="52"/>
        </w:rPr>
        <w:t>江苏师范大学</w:t>
      </w:r>
      <w:r>
        <w:rPr>
          <w:rFonts w:hint="eastAsia" w:cs="华文楷体" w:asciiTheme="minorEastAsia" w:hAnsiTheme="minorEastAsia" w:eastAsiaTheme="minorEastAsia"/>
          <w:b/>
          <w:color w:val="000000" w:themeColor="text1"/>
          <w:sz w:val="48"/>
          <w:szCs w:val="52"/>
        </w:rPr>
        <w:t>电转仪采购项目</w:t>
      </w:r>
    </w:p>
    <w:p>
      <w:pPr>
        <w:adjustRightInd w:val="0"/>
        <w:snapToGrid w:val="0"/>
        <w:jc w:val="center"/>
        <w:rPr>
          <w:rFonts w:cs="华文楷体" w:asciiTheme="minorEastAsia" w:hAnsiTheme="minorEastAsia" w:eastAsiaTheme="minorEastAsia"/>
          <w:b/>
          <w:color w:val="000000" w:themeColor="text1"/>
          <w:sz w:val="32"/>
          <w:szCs w:val="32"/>
        </w:rPr>
      </w:pPr>
    </w:p>
    <w:p>
      <w:pPr>
        <w:adjustRightInd w:val="0"/>
        <w:snapToGrid w:val="0"/>
        <w:jc w:val="center"/>
        <w:rPr>
          <w:rFonts w:cs="华文楷体" w:asciiTheme="minorEastAsia" w:hAnsiTheme="minorEastAsia" w:eastAsiaTheme="minorEastAsia"/>
          <w:b/>
          <w:bCs/>
          <w:color w:val="000000" w:themeColor="text1"/>
          <w:sz w:val="32"/>
          <w:szCs w:val="32"/>
          <w:u w:val="single"/>
        </w:rPr>
      </w:pPr>
      <w:r>
        <w:rPr>
          <w:rFonts w:hint="eastAsia" w:cs="华文楷体" w:asciiTheme="minorEastAsia" w:hAnsiTheme="minorEastAsia" w:eastAsiaTheme="minorEastAsia"/>
          <w:b/>
          <w:color w:val="000000" w:themeColor="text1"/>
          <w:sz w:val="32"/>
          <w:szCs w:val="32"/>
        </w:rPr>
        <w:t>(项目编号：2022H14044)</w:t>
      </w:r>
    </w:p>
    <w:p>
      <w:pPr>
        <w:adjustRightInd w:val="0"/>
        <w:snapToGrid w:val="0"/>
        <w:rPr>
          <w:rFonts w:cs="华文楷体" w:asciiTheme="minorEastAsia" w:hAnsiTheme="minorEastAsia" w:eastAsiaTheme="minorEastAsia"/>
          <w:b/>
          <w:color w:val="000000" w:themeColor="text1"/>
          <w:sz w:val="72"/>
          <w:szCs w:val="72"/>
        </w:rPr>
      </w:pP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磋</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商</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文</w:t>
      </w:r>
    </w:p>
    <w:p>
      <w:pPr>
        <w:adjustRightInd w:val="0"/>
        <w:snapToGrid w:val="0"/>
        <w:spacing w:line="276" w:lineRule="auto"/>
        <w:jc w:val="center"/>
        <w:rPr>
          <w:rFonts w:cs="华文楷体" w:asciiTheme="minorEastAsia" w:hAnsiTheme="minorEastAsia" w:eastAsiaTheme="minorEastAsia"/>
          <w:b/>
          <w:color w:val="000000" w:themeColor="text1"/>
          <w:sz w:val="144"/>
          <w:szCs w:val="144"/>
        </w:rPr>
      </w:pPr>
      <w:r>
        <w:rPr>
          <w:rFonts w:hint="eastAsia" w:cs="华文楷体" w:asciiTheme="minorEastAsia" w:hAnsiTheme="minorEastAsia" w:eastAsiaTheme="minorEastAsia"/>
          <w:b/>
          <w:color w:val="000000" w:themeColor="text1"/>
          <w:sz w:val="120"/>
          <w:szCs w:val="120"/>
        </w:rPr>
        <w:t>件</w:t>
      </w:r>
    </w:p>
    <w:p>
      <w:pPr>
        <w:ind w:left="3192" w:leftChars="1520" w:firstLine="6076" w:firstLineChars="1899"/>
        <w:rPr>
          <w:rFonts w:cs="华文楷体" w:asciiTheme="minorEastAsia" w:hAnsiTheme="minorEastAsia" w:eastAsiaTheme="minorEastAsia"/>
          <w:color w:val="000000" w:themeColor="text1"/>
          <w:sz w:val="32"/>
        </w:rPr>
      </w:pPr>
    </w:p>
    <w:p>
      <w:pPr>
        <w:ind w:firstLine="3040" w:firstLineChars="950"/>
        <w:rPr>
          <w:rFonts w:cs="华文楷体" w:asciiTheme="minorEastAsia" w:hAnsiTheme="minorEastAsia" w:eastAsiaTheme="minorEastAsia"/>
          <w:color w:val="000000" w:themeColor="text1"/>
          <w:sz w:val="32"/>
        </w:rPr>
      </w:pPr>
      <w:r>
        <w:rPr>
          <w:rFonts w:cs="华文楷体" w:asciiTheme="minorEastAsia" w:hAnsiTheme="minorEastAsia" w:eastAsiaTheme="minorEastAsia"/>
          <w:color w:val="000000" w:themeColor="text1"/>
          <w:sz w:val="32"/>
        </w:rPr>
        <w:t>江苏师范大学招标</w:t>
      </w:r>
      <w:r>
        <w:rPr>
          <w:rFonts w:hint="eastAsia" w:cs="华文楷体" w:asciiTheme="minorEastAsia" w:hAnsiTheme="minorEastAsia" w:eastAsiaTheme="minorEastAsia"/>
          <w:color w:val="000000" w:themeColor="text1"/>
          <w:sz w:val="32"/>
        </w:rPr>
        <w:t>办公室</w:t>
      </w:r>
    </w:p>
    <w:p>
      <w:pPr>
        <w:ind w:firstLine="3520" w:firstLineChars="1100"/>
        <w:rPr>
          <w:rFonts w:cs="华文楷体" w:asciiTheme="minorEastAsia" w:hAnsiTheme="minorEastAsia" w:eastAsiaTheme="minorEastAsia"/>
          <w:color w:val="000000" w:themeColor="text1"/>
          <w:sz w:val="32"/>
          <w:shd w:val="clear" w:color="auto" w:fill="FFFFFF" w:themeFill="background1"/>
        </w:rPr>
      </w:pPr>
      <w:r>
        <w:rPr>
          <w:rFonts w:hint="eastAsia" w:cs="华文楷体" w:asciiTheme="minorEastAsia" w:hAnsiTheme="minorEastAsia" w:eastAsiaTheme="minorEastAsia"/>
          <w:color w:val="000000" w:themeColor="text1"/>
          <w:sz w:val="32"/>
          <w:shd w:val="clear" w:color="auto" w:fill="FFFFFF" w:themeFill="background1"/>
        </w:rPr>
        <w:t>202</w:t>
      </w:r>
      <w:r>
        <w:rPr>
          <w:rFonts w:cs="华文楷体" w:asciiTheme="minorEastAsia" w:hAnsiTheme="minorEastAsia" w:eastAsiaTheme="minorEastAsia"/>
          <w:color w:val="000000" w:themeColor="text1"/>
          <w:sz w:val="32"/>
          <w:shd w:val="clear" w:color="auto" w:fill="FFFFFF" w:themeFill="background1"/>
        </w:rPr>
        <w:t>2</w:t>
      </w:r>
      <w:r>
        <w:rPr>
          <w:rFonts w:hint="eastAsia" w:cs="华文楷体" w:asciiTheme="minorEastAsia" w:hAnsiTheme="minorEastAsia" w:eastAsiaTheme="minorEastAsia"/>
          <w:color w:val="000000" w:themeColor="text1"/>
          <w:sz w:val="32"/>
          <w:shd w:val="clear" w:color="auto" w:fill="FFFFFF" w:themeFill="background1"/>
        </w:rPr>
        <w:t>年9月27日</w:t>
      </w:r>
    </w:p>
    <w:p>
      <w:pPr>
        <w:ind w:firstLine="3520" w:firstLineChars="1100"/>
        <w:rPr>
          <w:rFonts w:cs="华文楷体" w:asciiTheme="minorEastAsia" w:hAnsiTheme="minorEastAsia" w:eastAsiaTheme="minorEastAsia"/>
          <w:color w:val="000000" w:themeColor="text1"/>
          <w:sz w:val="32"/>
          <w:shd w:val="clear" w:color="auto" w:fill="FFFFFF" w:themeFill="background1"/>
        </w:rPr>
      </w:pPr>
    </w:p>
    <w:p>
      <w:pPr>
        <w:ind w:firstLine="3520" w:firstLineChars="1100"/>
        <w:rPr>
          <w:rFonts w:cs="华文楷体" w:asciiTheme="minorEastAsia" w:hAnsiTheme="minorEastAsia" w:eastAsiaTheme="minorEastAsia"/>
          <w:color w:val="000000" w:themeColor="text1"/>
          <w:sz w:val="32"/>
          <w:shd w:val="clear" w:color="auto" w:fill="FFC000"/>
        </w:rPr>
      </w:pPr>
    </w:p>
    <w:p>
      <w:pPr>
        <w:pStyle w:val="28"/>
        <w:numPr>
          <w:ilvl w:val="0"/>
          <w:numId w:val="0"/>
        </w:numPr>
        <w:spacing w:before="0" w:after="0" w:line="400" w:lineRule="exact"/>
        <w:outlineLvl w:val="9"/>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rPr>
        <w:t>第一章    总 则</w:t>
      </w:r>
    </w:p>
    <w:p>
      <w:pPr>
        <w:pStyle w:val="27"/>
        <w:spacing w:before="0" w:line="340" w:lineRule="exact"/>
        <w:ind w:firstLine="482" w:firstLineChars="200"/>
        <w:jc w:val="both"/>
        <w:outlineLvl w:val="9"/>
        <w:rPr>
          <w:rFonts w:cs="华文楷体" w:asciiTheme="minorEastAsia" w:hAnsiTheme="minorEastAsia" w:eastAsiaTheme="minorEastAsia"/>
          <w:bCs w:val="0"/>
          <w:color w:val="000000" w:themeColor="text1"/>
          <w:sz w:val="24"/>
          <w:szCs w:val="24"/>
        </w:rPr>
      </w:pPr>
      <w:r>
        <w:rPr>
          <w:rFonts w:hint="eastAsia" w:cs="华文楷体" w:asciiTheme="minorEastAsia" w:hAnsiTheme="minorEastAsia" w:eastAsiaTheme="minorEastAsia"/>
          <w:bCs w:val="0"/>
          <w:color w:val="000000" w:themeColor="text1"/>
          <w:sz w:val="24"/>
          <w:szCs w:val="24"/>
        </w:rPr>
        <w:t>一、磋商文件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1.投标人应详细阅读磋商文件的全部内容。如果投标人没有按照采购文件要求提交全部资料或者没有对采购文件在各方面的要求都做出实质性响应，可能导致其投标被拒绝。</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2.磋商文件的澄清</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投标人如对采购文件有疑问要求澄清的，可在202</w:t>
      </w:r>
      <w:r>
        <w:rPr>
          <w:rFonts w:cs="华文楷体" w:asciiTheme="minorEastAsia" w:hAnsiTheme="minorEastAsia" w:eastAsiaTheme="minorEastAsia"/>
          <w:color w:val="000000" w:themeColor="text1"/>
          <w:sz w:val="24"/>
          <w:szCs w:val="24"/>
        </w:rPr>
        <w:t>2</w:t>
      </w:r>
      <w:r>
        <w:rPr>
          <w:rFonts w:hint="eastAsia" w:cs="华文楷体" w:asciiTheme="minorEastAsia" w:hAnsiTheme="minorEastAsia" w:eastAsiaTheme="minorEastAsia"/>
          <w:color w:val="000000" w:themeColor="text1"/>
          <w:sz w:val="24"/>
          <w:szCs w:val="24"/>
        </w:rPr>
        <w:t>年9月30日16:00前以书面形式或传真方式递交到我校招标办（澄清函需加盖投标人公章），同时将电子版发送至招标办邮箱2561830766@qq.com（电子版包括：澄清函图片格式的扫描件及澄清函内容对应的word文档）。澄清要求，逾期将不再受理。</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3.磋商文件的修改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3.1在投标截止期5日以前任何时候，采购人无论出于何种原因，均可对采购文件用补充文件的方式进行修改。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3.2对采购文件的修改，将通过</w:t>
      </w:r>
      <w:r>
        <w:rPr>
          <w:rFonts w:hint="eastAsia" w:cs="华文楷体" w:asciiTheme="minorEastAsia" w:hAnsiTheme="minorEastAsia" w:eastAsiaTheme="minorEastAsia"/>
          <w:color w:val="000000" w:themeColor="text1"/>
          <w:kern w:val="2"/>
          <w:sz w:val="24"/>
          <w:szCs w:val="24"/>
        </w:rPr>
        <w:t>“江苏师范大学招投标网”（http://ztbb.jsnu.edu.cn/）发布</w:t>
      </w:r>
      <w:r>
        <w:rPr>
          <w:rFonts w:hint="eastAsia" w:cs="华文楷体" w:asciiTheme="minorEastAsia" w:hAnsiTheme="minorEastAsia" w:eastAsiaTheme="minorEastAsia"/>
          <w:color w:val="000000" w:themeColor="text1"/>
          <w:sz w:val="24"/>
          <w:szCs w:val="24"/>
        </w:rPr>
        <w:t>公告。补充文件将作为采购文件的组成部分，对所有领取了采购文件的投标人均具有约束力。</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3.3为使投标人有足够的时间按采购文件的修改要求考虑修正投标文件，采购人可酌情推迟投标日期，并将具体变更情况通过</w:t>
      </w:r>
      <w:r>
        <w:rPr>
          <w:rFonts w:hint="eastAsia" w:cs="华文楷体" w:asciiTheme="minorEastAsia" w:hAnsiTheme="minorEastAsia" w:eastAsiaTheme="minorEastAsia"/>
          <w:color w:val="000000" w:themeColor="text1"/>
          <w:kern w:val="2"/>
          <w:sz w:val="24"/>
          <w:szCs w:val="24"/>
        </w:rPr>
        <w:t xml:space="preserve"> “江苏师范大学招投标网”</w:t>
      </w:r>
      <w:r>
        <w:rPr>
          <w:rFonts w:hint="eastAsia" w:cs="华文楷体" w:asciiTheme="minorEastAsia" w:hAnsiTheme="minorEastAsia" w:eastAsiaTheme="minorEastAsia"/>
          <w:color w:val="000000" w:themeColor="text1"/>
          <w:sz w:val="24"/>
          <w:szCs w:val="24"/>
        </w:rPr>
        <w:t>公告。</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color w:val="000000" w:themeColor="text1"/>
          <w:sz w:val="24"/>
          <w:szCs w:val="24"/>
        </w:rPr>
        <w:t>4.</w:t>
      </w:r>
      <w:r>
        <w:rPr>
          <w:rFonts w:hint="eastAsia" w:cs="华文楷体" w:asciiTheme="minorEastAsia" w:hAnsiTheme="minorEastAsia" w:eastAsiaTheme="minorEastAsia"/>
          <w:b/>
          <w:sz w:val="24"/>
          <w:szCs w:val="24"/>
        </w:rPr>
        <w:t xml:space="preserve"> 通知</w:t>
      </w:r>
    </w:p>
    <w:p>
      <w:pPr>
        <w:pStyle w:val="25"/>
        <w:numPr>
          <w:ilvl w:val="0"/>
          <w:numId w:val="0"/>
        </w:numPr>
        <w:spacing w:line="340" w:lineRule="exact"/>
        <w:ind w:firstLine="480" w:firstLineChars="200"/>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sz w:val="24"/>
          <w:szCs w:val="24"/>
        </w:rPr>
        <w:t>对与本项目有关的通知，采购人将通过 “江苏师范大学招投标网”发布公告，请投标</w:t>
      </w:r>
      <w:r>
        <w:rPr>
          <w:rFonts w:hint="eastAsia" w:cs="华文楷体" w:asciiTheme="minorEastAsia" w:hAnsiTheme="minorEastAsia" w:eastAsiaTheme="minorEastAsia"/>
          <w:sz w:val="24"/>
          <w:szCs w:val="24"/>
          <w:shd w:val="clear" w:color="auto" w:fill="FFFFFF" w:themeFill="background1"/>
        </w:rPr>
        <w:t>人自行关注。</w:t>
      </w:r>
    </w:p>
    <w:p>
      <w:pPr>
        <w:ind w:firstLine="361" w:firstLineChars="150"/>
        <w:rPr>
          <w:rFonts w:cs="华文楷体" w:asciiTheme="minorEastAsia" w:hAnsiTheme="minorEastAsia" w:eastAsiaTheme="minorEastAsia"/>
          <w:b/>
          <w:sz w:val="24"/>
          <w:shd w:val="clear" w:color="auto" w:fill="FFFFFF" w:themeFill="background1"/>
        </w:rPr>
      </w:pPr>
      <w:r>
        <w:rPr>
          <w:rFonts w:hint="eastAsia" w:cs="华文楷体" w:asciiTheme="minorEastAsia" w:hAnsiTheme="minorEastAsia" w:eastAsiaTheme="minorEastAsia"/>
          <w:b/>
          <w:sz w:val="24"/>
          <w:shd w:val="clear" w:color="auto" w:fill="FFFFFF" w:themeFill="background1"/>
        </w:rPr>
        <w:t>5.付款方式：</w:t>
      </w:r>
    </w:p>
    <w:p>
      <w:pPr>
        <w:pStyle w:val="25"/>
        <w:numPr>
          <w:ilvl w:val="0"/>
          <w:numId w:val="0"/>
        </w:numPr>
        <w:spacing w:line="340" w:lineRule="exact"/>
        <w:ind w:firstLine="482" w:firstLineChars="200"/>
        <w:rPr>
          <w:rFonts w:cs="华文楷体" w:asciiTheme="minorEastAsia" w:hAnsiTheme="minorEastAsia" w:eastAsiaTheme="minorEastAsia"/>
          <w:b/>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按合同条款100%LC支付。</w:t>
      </w:r>
    </w:p>
    <w:p>
      <w:pPr>
        <w:pStyle w:val="25"/>
        <w:numPr>
          <w:ilvl w:val="0"/>
          <w:numId w:val="0"/>
        </w:numPr>
        <w:spacing w:line="340" w:lineRule="exact"/>
        <w:ind w:left="701" w:leftChars="228" w:hanging="222" w:hangingChars="92"/>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6.供货期：</w:t>
      </w:r>
      <w:r>
        <w:rPr>
          <w:rFonts w:hint="eastAsia" w:asciiTheme="minorEastAsia" w:hAnsiTheme="minorEastAsia" w:eastAsiaTheme="minorEastAsia"/>
          <w:bCs/>
          <w:sz w:val="24"/>
          <w:szCs w:val="24"/>
          <w:shd w:val="clear" w:color="auto" w:fill="FFFFFF" w:themeFill="background1"/>
        </w:rPr>
        <w:t>具体供货时间由投标人自报</w:t>
      </w:r>
      <w:r>
        <w:rPr>
          <w:rFonts w:hint="eastAsia" w:cs="华文楷体" w:asciiTheme="minorEastAsia" w:hAnsiTheme="minorEastAsia" w:eastAsiaTheme="minorEastAsia"/>
          <w:sz w:val="24"/>
          <w:szCs w:val="24"/>
          <w:shd w:val="clear" w:color="auto" w:fill="FFFFFF" w:themeFill="background1"/>
        </w:rPr>
        <w:t>。</w:t>
      </w:r>
    </w:p>
    <w:p>
      <w:pPr>
        <w:pStyle w:val="25"/>
        <w:numPr>
          <w:ilvl w:val="0"/>
          <w:numId w:val="0"/>
        </w:numPr>
        <w:spacing w:line="340" w:lineRule="exact"/>
        <w:ind w:left="701" w:leftChars="228" w:hanging="222" w:hangingChars="92"/>
        <w:rPr>
          <w:rFonts w:asciiTheme="minorEastAsia" w:hAnsiTheme="minorEastAsia" w:eastAsiaTheme="minorEastAsia"/>
          <w:bCs/>
          <w:sz w:val="24"/>
          <w:szCs w:val="24"/>
          <w:shd w:val="clear" w:color="auto" w:fill="FFFFFF" w:themeFill="background1"/>
        </w:rPr>
      </w:pPr>
      <w:r>
        <w:rPr>
          <w:rFonts w:cs="华文楷体" w:asciiTheme="minorEastAsia" w:hAnsiTheme="minorEastAsia" w:eastAsiaTheme="minorEastAsia"/>
          <w:b/>
          <w:sz w:val="24"/>
          <w:szCs w:val="24"/>
          <w:shd w:val="clear" w:color="auto" w:fill="FFFFFF" w:themeFill="background1"/>
        </w:rPr>
        <w:t>7</w:t>
      </w:r>
      <w:r>
        <w:rPr>
          <w:rFonts w:hint="eastAsia" w:cs="华文楷体" w:asciiTheme="minorEastAsia" w:hAnsiTheme="minorEastAsia" w:eastAsiaTheme="minorEastAsia"/>
          <w:b/>
          <w:sz w:val="24"/>
          <w:szCs w:val="24"/>
          <w:shd w:val="clear" w:color="auto" w:fill="FFFFFF" w:themeFill="background1"/>
        </w:rPr>
        <w:t>.采购预算金额（最高限价）：</w:t>
      </w:r>
      <w:r>
        <w:rPr>
          <w:rFonts w:hint="eastAsia"/>
          <w:bCs/>
          <w:sz w:val="24"/>
          <w:shd w:val="clear" w:color="auto" w:fill="FFFFFF" w:themeFill="background1"/>
        </w:rPr>
        <w:t>人民币20万元</w:t>
      </w:r>
      <w:r>
        <w:rPr>
          <w:rFonts w:hint="eastAsia" w:asciiTheme="minorEastAsia" w:hAnsiTheme="minorEastAsia" w:eastAsiaTheme="minorEastAsia"/>
          <w:bCs/>
          <w:sz w:val="24"/>
          <w:szCs w:val="24"/>
          <w:shd w:val="clear" w:color="auto" w:fill="FFFFFF" w:themeFill="background1"/>
        </w:rPr>
        <w:t>。</w:t>
      </w:r>
    </w:p>
    <w:p>
      <w:pPr>
        <w:pStyle w:val="25"/>
        <w:numPr>
          <w:ilvl w:val="0"/>
          <w:numId w:val="0"/>
        </w:numPr>
        <w:spacing w:line="340" w:lineRule="exact"/>
        <w:ind w:left="701" w:leftChars="228" w:hanging="222" w:hangingChars="92"/>
        <w:rPr>
          <w:rFonts w:asciiTheme="minorEastAsia" w:hAnsiTheme="minorEastAsia" w:eastAsiaTheme="minorEastAsia"/>
          <w:b/>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8</w:t>
      </w:r>
      <w:r>
        <w:rPr>
          <w:rFonts w:cs="华文楷体" w:asciiTheme="minorEastAsia" w:hAnsiTheme="minorEastAsia" w:eastAsiaTheme="minorEastAsia"/>
          <w:b/>
          <w:sz w:val="24"/>
          <w:szCs w:val="24"/>
          <w:shd w:val="clear" w:color="auto" w:fill="FFFFFF" w:themeFill="background1"/>
        </w:rPr>
        <w:t>.</w:t>
      </w:r>
      <w:r>
        <w:rPr>
          <w:rFonts w:hint="eastAsia" w:asciiTheme="minorEastAsia" w:hAnsiTheme="minorEastAsia" w:eastAsiaTheme="minorEastAsia"/>
          <w:b/>
          <w:sz w:val="24"/>
          <w:szCs w:val="24"/>
          <w:shd w:val="clear" w:color="auto" w:fill="FFFFFF" w:themeFill="background1"/>
        </w:rPr>
        <w:t>投标人资格条件</w:t>
      </w:r>
    </w:p>
    <w:p>
      <w:pPr>
        <w:pStyle w:val="13"/>
        <w:shd w:val="clear" w:color="auto" w:fill="FFFFFF"/>
        <w:spacing w:before="45" w:beforeAutospacing="0" w:after="45" w:afterAutospacing="0" w:line="315" w:lineRule="atLeast"/>
        <w:ind w:firstLine="480" w:firstLineChars="200"/>
        <w:rPr>
          <w:rFonts w:ascii="微软雅黑" w:hAnsi="微软雅黑" w:eastAsia="微软雅黑"/>
          <w:color w:val="000000"/>
          <w:sz w:val="18"/>
          <w:szCs w:val="18"/>
        </w:rPr>
      </w:pPr>
      <w:r>
        <w:rPr>
          <w:rFonts w:hint="eastAsia"/>
          <w:color w:val="000000"/>
        </w:rPr>
        <w:t>8</w:t>
      </w:r>
      <w:r>
        <w:rPr>
          <w:color w:val="000000"/>
        </w:rPr>
        <w:t>.1</w:t>
      </w:r>
      <w:r>
        <w:rPr>
          <w:rFonts w:hint="eastAsia"/>
          <w:color w:val="000000"/>
        </w:rPr>
        <w:t>具有独立承担民事责任的能力；</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.2</w:t>
      </w:r>
      <w:r>
        <w:rPr>
          <w:rFonts w:hint="eastAsia"/>
          <w:color w:val="000000"/>
        </w:rPr>
        <w:t>具有良好的商业信誉和健全的财务会计制度；</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.3</w:t>
      </w:r>
      <w:r>
        <w:rPr>
          <w:rFonts w:hint="eastAsia"/>
          <w:color w:val="000000"/>
        </w:rPr>
        <w:t>具有履行合同所必需的设备和专业技术能力；</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.4</w:t>
      </w:r>
      <w:r>
        <w:rPr>
          <w:rFonts w:hint="eastAsia"/>
          <w:color w:val="000000"/>
        </w:rPr>
        <w:t>依法缴纳税收和社会保障资金；</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.5</w:t>
      </w:r>
      <w:r>
        <w:rPr>
          <w:rFonts w:hint="eastAsia"/>
          <w:color w:val="000000"/>
        </w:rPr>
        <w:t>符合法律、行政法规规定的其他条件；</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.6</w:t>
      </w:r>
      <w:r>
        <w:rPr>
          <w:rFonts w:hint="eastAsia"/>
          <w:color w:val="000000"/>
        </w:rPr>
        <w:t>进口产品递交投标文件时必须携带有效授权证明；</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.7</w:t>
      </w:r>
      <w:r>
        <w:rPr>
          <w:rFonts w:hint="eastAsia"/>
          <w:color w:val="000000"/>
        </w:rPr>
        <w:t>不接受联合体投标，单位负责人为同一人或者存在控股、管理关系的不同单位不得参加同一项目的投标活动。</w:t>
      </w:r>
    </w:p>
    <w:p>
      <w:pPr>
        <w:pStyle w:val="13"/>
        <w:shd w:val="clear" w:color="auto" w:fill="FFFFFF"/>
        <w:spacing w:before="45" w:beforeAutospacing="0" w:after="45" w:afterAutospacing="0" w:line="315" w:lineRule="atLeast"/>
        <w:ind w:firstLine="315"/>
        <w:rPr>
          <w:rFonts w:ascii="微软雅黑" w:hAnsi="微软雅黑" w:eastAsia="微软雅黑"/>
          <w:color w:val="000000"/>
          <w:sz w:val="18"/>
          <w:szCs w:val="18"/>
        </w:rPr>
      </w:pPr>
    </w:p>
    <w:p>
      <w:pPr>
        <w:pStyle w:val="27"/>
        <w:spacing w:before="0" w:line="340" w:lineRule="exact"/>
        <w:ind w:firstLine="482" w:firstLineChars="200"/>
        <w:jc w:val="both"/>
        <w:outlineLvl w:val="9"/>
        <w:rPr>
          <w:rFonts w:cs="华文楷体" w:asciiTheme="minorEastAsia" w:hAnsiTheme="minorEastAsia" w:eastAsiaTheme="minorEastAsia"/>
          <w:color w:val="auto"/>
          <w:sz w:val="24"/>
          <w:szCs w:val="24"/>
        </w:rPr>
      </w:pPr>
      <w:r>
        <w:rPr>
          <w:rFonts w:hint="eastAsia" w:cs="华文楷体" w:asciiTheme="minorEastAsia" w:hAnsiTheme="minorEastAsia" w:eastAsiaTheme="minorEastAsia"/>
          <w:color w:val="auto"/>
          <w:sz w:val="24"/>
          <w:szCs w:val="24"/>
        </w:rPr>
        <w:t>二、投标文件</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1. 投标文件的语言和计量单位</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1.1投标人所提供的投标文件包含技术文件、有关资料、说明等，均应使用中文简化字。</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1.2投标文件所使用的计量单位，除工程规范另有规定外，均采用中华人民共和国法定计量单位。</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2.投标文件的组成及相关要求</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2.1投标文件分为商务和技术两个部分，这两部分按照商务与技术的顺序装订成一册。为了方便评审，投标文件中的各项表格必须按照采购文件格式要求制作。</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2.2商务部分指投标人提</w:t>
      </w:r>
      <w:r>
        <w:rPr>
          <w:rFonts w:hint="eastAsia" w:cs="华文楷体" w:asciiTheme="minorEastAsia" w:hAnsiTheme="minorEastAsia" w:eastAsiaTheme="minorEastAsia"/>
          <w:color w:val="000000" w:themeColor="text1"/>
          <w:sz w:val="24"/>
          <w:szCs w:val="24"/>
        </w:rPr>
        <w:t>交的证明其有资格参加投标和成交后有能力履行合同的文件。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2.3商务文件、技术文件与投标人认为需要编写的技术文件的组成均按本采购文件要</w:t>
      </w:r>
      <w:r>
        <w:rPr>
          <w:rFonts w:hint="eastAsia" w:cs="华文楷体" w:asciiTheme="minorEastAsia" w:hAnsiTheme="minorEastAsia" w:eastAsiaTheme="minorEastAsia"/>
          <w:color w:val="000000" w:themeColor="text1"/>
          <w:sz w:val="24"/>
          <w:szCs w:val="24"/>
        </w:rPr>
        <w:t>求的顺序与内容填写。</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3.投标内容填写说明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3.3投标人必须保证投标文件所提供的全部资料真实可靠，并接受采购人对其中任何资料进一步审查的要求。</w:t>
      </w:r>
    </w:p>
    <w:p>
      <w:pPr>
        <w:adjustRightInd w:val="0"/>
        <w:snapToGrid w:val="0"/>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3.4报价一览表要求按格式统一填写，不得自行增减内容。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pPr>
        <w:pStyle w:val="25"/>
        <w:numPr>
          <w:ilvl w:val="0"/>
          <w:numId w:val="0"/>
        </w:numPr>
        <w:spacing w:line="340" w:lineRule="exact"/>
        <w:ind w:left="707" w:leftChars="228" w:hanging="228" w:hangingChars="95"/>
        <w:rPr>
          <w:rFonts w:cs="华文楷体"/>
          <w:color w:val="000000"/>
          <w:sz w:val="24"/>
        </w:rPr>
      </w:pPr>
      <w:r>
        <w:rPr>
          <w:rFonts w:hint="eastAsia" w:cs="华文楷体"/>
          <w:color w:val="000000"/>
          <w:sz w:val="24"/>
        </w:rPr>
        <w:t>3.6</w:t>
      </w:r>
      <w:r>
        <w:rPr>
          <w:rFonts w:hint="eastAsia" w:cs="华文楷体"/>
          <w:b/>
          <w:color w:val="000000"/>
          <w:sz w:val="24"/>
        </w:rPr>
        <w:t>本项目有二次报价环节，二次报价不得高于一次报价；二次报价为最终报价</w:t>
      </w:r>
      <w:r>
        <w:rPr>
          <w:rFonts w:hint="eastAsia" w:cs="华文楷体"/>
          <w:color w:val="000000"/>
          <w:sz w:val="24"/>
        </w:rPr>
        <w:t>。</w:t>
      </w:r>
    </w:p>
    <w:p>
      <w:pPr>
        <w:pStyle w:val="25"/>
        <w:numPr>
          <w:ilvl w:val="0"/>
          <w:numId w:val="0"/>
        </w:numPr>
        <w:spacing w:line="340" w:lineRule="exact"/>
        <w:ind w:left="701" w:leftChars="228" w:hanging="222" w:hangingChars="92"/>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4.投标文件的编制</w:t>
      </w:r>
    </w:p>
    <w:p>
      <w:pPr>
        <w:pStyle w:val="25"/>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25"/>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4.1资格审查符合性审查材料索引表；</w:t>
      </w:r>
    </w:p>
    <w:p>
      <w:pPr>
        <w:pStyle w:val="25"/>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4.2评分索引表；</w:t>
      </w:r>
    </w:p>
    <w:p>
      <w:pPr>
        <w:spacing w:line="380" w:lineRule="exact"/>
        <w:ind w:firstLine="468" w:firstLineChars="195"/>
        <w:rPr>
          <w:rFonts w:ascii="宋体" w:hAnsi="宋体"/>
          <w:sz w:val="24"/>
        </w:rPr>
      </w:pPr>
      <w:r>
        <w:rPr>
          <w:rFonts w:hint="eastAsia" w:ascii="宋体" w:hAnsi="宋体"/>
          <w:sz w:val="24"/>
        </w:rPr>
        <w:t>4.3投标函；</w:t>
      </w:r>
    </w:p>
    <w:p>
      <w:pPr>
        <w:spacing w:line="380" w:lineRule="exact"/>
        <w:ind w:firstLine="420" w:firstLineChars="175"/>
        <w:rPr>
          <w:rFonts w:ascii="宋体" w:hAnsi="宋体"/>
          <w:sz w:val="24"/>
        </w:rPr>
      </w:pPr>
      <w:r>
        <w:rPr>
          <w:rFonts w:hint="eastAsia" w:ascii="宋体" w:hAnsi="宋体"/>
          <w:sz w:val="24"/>
        </w:rPr>
        <w:t>4.4投标报价一览表；</w:t>
      </w:r>
    </w:p>
    <w:p>
      <w:pPr>
        <w:spacing w:line="380" w:lineRule="exact"/>
        <w:ind w:firstLine="420"/>
        <w:rPr>
          <w:rFonts w:ascii="宋体" w:hAnsi="宋体"/>
          <w:sz w:val="24"/>
        </w:rPr>
      </w:pPr>
      <w:r>
        <w:rPr>
          <w:rFonts w:hint="eastAsia" w:ascii="宋体" w:hAnsi="宋体"/>
          <w:sz w:val="24"/>
        </w:rPr>
        <w:t>4</w:t>
      </w:r>
      <w:r>
        <w:rPr>
          <w:rFonts w:ascii="宋体" w:hAnsi="宋体"/>
          <w:sz w:val="24"/>
        </w:rPr>
        <w:t>.5</w:t>
      </w:r>
      <w:r>
        <w:rPr>
          <w:rFonts w:hint="eastAsia" w:ascii="宋体" w:hAnsi="宋体"/>
          <w:sz w:val="24"/>
        </w:rPr>
        <w:t>投标报价明细表；</w:t>
      </w:r>
    </w:p>
    <w:p>
      <w:pPr>
        <w:spacing w:line="380" w:lineRule="exact"/>
        <w:ind w:firstLine="420"/>
        <w:rPr>
          <w:rFonts w:ascii="宋体" w:hAnsi="宋体"/>
          <w:sz w:val="24"/>
        </w:rPr>
      </w:pPr>
      <w:r>
        <w:rPr>
          <w:rFonts w:hint="eastAsia" w:ascii="宋体" w:hAnsi="宋体"/>
          <w:sz w:val="24"/>
        </w:rPr>
        <w:t>4.</w:t>
      </w:r>
      <w:r>
        <w:rPr>
          <w:rFonts w:ascii="宋体" w:hAnsi="宋体"/>
          <w:sz w:val="24"/>
        </w:rPr>
        <w:t>6</w:t>
      </w:r>
      <w:r>
        <w:rPr>
          <w:rFonts w:hint="eastAsia" w:ascii="宋体" w:hAnsi="宋体"/>
          <w:sz w:val="24"/>
        </w:rPr>
        <w:t>法定代表人的授权委托书（原件封于投标文件正本中）；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.7</w:t>
      </w:r>
      <w:r>
        <w:rPr>
          <w:rFonts w:hint="eastAsia" w:ascii="宋体" w:hAnsi="宋体"/>
          <w:sz w:val="24"/>
        </w:rPr>
        <w:t>质保与服务承诺书（如是进口设备需提供厂家授权，原件封于投标文件正本中）；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.8</w:t>
      </w:r>
      <w:r>
        <w:rPr>
          <w:rFonts w:hint="eastAsia" w:ascii="宋体" w:hAnsi="宋体"/>
          <w:sz w:val="24"/>
        </w:rPr>
        <w:t>无重大违法记录的书面声明（原件封于投标文件正本中）；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.9</w:t>
      </w:r>
      <w:r>
        <w:rPr>
          <w:rFonts w:hint="eastAsia" w:ascii="宋体" w:hAnsi="宋体"/>
          <w:sz w:val="24"/>
        </w:rPr>
        <w:t>投标单位情况介绍（简要说明）；</w:t>
      </w:r>
    </w:p>
    <w:p>
      <w:pPr>
        <w:spacing w:line="380" w:lineRule="exact"/>
        <w:ind w:firstLine="420"/>
        <w:rPr>
          <w:rFonts w:ascii="宋体" w:hAnsi="宋体"/>
          <w:sz w:val="24"/>
        </w:rPr>
      </w:pPr>
      <w:r>
        <w:rPr>
          <w:rFonts w:hint="eastAsia" w:ascii="宋体" w:hAnsi="宋体"/>
          <w:sz w:val="24"/>
        </w:rPr>
        <w:t>4.</w:t>
      </w:r>
      <w:r>
        <w:rPr>
          <w:rFonts w:ascii="宋体" w:hAnsi="宋体"/>
          <w:sz w:val="24"/>
        </w:rPr>
        <w:t>10</w:t>
      </w:r>
      <w:r>
        <w:rPr>
          <w:rFonts w:hint="eastAsia" w:ascii="宋体" w:hAnsi="宋体"/>
          <w:sz w:val="24"/>
        </w:rPr>
        <w:t>企业营业执照复印件；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1</w:t>
      </w:r>
      <w:r>
        <w:rPr>
          <w:rFonts w:hint="eastAsia" w:ascii="宋体" w:hAnsi="宋体"/>
          <w:sz w:val="24"/>
        </w:rPr>
        <w:t>投标人财务状况良好，提供：</w:t>
      </w:r>
    </w:p>
    <w:p>
      <w:pPr>
        <w:spacing w:line="380" w:lineRule="exact"/>
        <w:ind w:firstLine="420"/>
        <w:rPr>
          <w:rFonts w:ascii="宋体" w:hAnsi="宋体"/>
          <w:sz w:val="24"/>
        </w:rPr>
      </w:pPr>
      <w:r>
        <w:rPr>
          <w:rFonts w:hint="eastAsia" w:ascii="宋体" w:hAnsi="宋体"/>
          <w:sz w:val="24"/>
        </w:rPr>
        <w:t>⑴投标人提交首次响应文件时间前6个月内任何1日的资产负债表复印件1份；</w:t>
      </w:r>
    </w:p>
    <w:p>
      <w:pPr>
        <w:spacing w:line="380" w:lineRule="exact"/>
        <w:ind w:firstLine="420"/>
        <w:rPr>
          <w:rFonts w:ascii="宋体" w:hAnsi="宋体"/>
          <w:sz w:val="24"/>
        </w:rPr>
      </w:pPr>
      <w:r>
        <w:rPr>
          <w:rFonts w:hint="eastAsia" w:ascii="宋体" w:hAnsi="宋体"/>
          <w:sz w:val="24"/>
        </w:rPr>
        <w:t>⑵投标人提交首次响应文件时间前6个月内任何1月（不含本公告发布当月）利润表月报表复印件1份。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w:t>
      </w:r>
      <w:r>
        <w:rPr>
          <w:rFonts w:hint="eastAsia" w:ascii="宋体" w:hAnsi="宋体"/>
          <w:sz w:val="24"/>
        </w:rPr>
        <w:t>⑴</w:t>
      </w:r>
      <w:r>
        <w:rPr>
          <w:rFonts w:hint="eastAsia" w:ascii="宋体" w:hAnsi="宋体"/>
          <w:color w:val="000000"/>
          <w:sz w:val="24"/>
        </w:rPr>
        <w:t>、</w:t>
      </w:r>
      <w:r>
        <w:rPr>
          <w:rFonts w:hint="eastAsia" w:ascii="宋体" w:hAnsi="宋体"/>
          <w:sz w:val="24"/>
        </w:rPr>
        <w:t>⑵</w:t>
      </w:r>
      <w:r>
        <w:rPr>
          <w:rFonts w:hint="eastAsia" w:ascii="宋体" w:hAnsi="宋体"/>
          <w:color w:val="000000"/>
          <w:sz w:val="24"/>
        </w:rPr>
        <w:t>要求的材料无法提供时，可提供有审计资格的第三方出具的投标人上一年度财务审计报告复印件。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2</w:t>
      </w:r>
      <w:r>
        <w:rPr>
          <w:rFonts w:hint="eastAsia" w:ascii="宋体" w:hAnsi="宋体"/>
          <w:sz w:val="24"/>
        </w:rPr>
        <w:t>投标单位为投标代表缴纳社保证明（提交首次响应文件时间前6个月内任何1月的依法缴纳社保的相关材料复印件）；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3</w:t>
      </w:r>
      <w:r>
        <w:rPr>
          <w:rFonts w:hint="eastAsia" w:ascii="宋体" w:hAnsi="宋体"/>
          <w:sz w:val="24"/>
        </w:rPr>
        <w:t>商务和技术偏离表；</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4</w:t>
      </w:r>
      <w:r>
        <w:rPr>
          <w:rFonts w:hint="eastAsia" w:ascii="宋体" w:hAnsi="宋体"/>
          <w:sz w:val="24"/>
        </w:rPr>
        <w:t>设备（系统）技术性能详细说明；</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5</w:t>
      </w:r>
      <w:r>
        <w:rPr>
          <w:rFonts w:hint="eastAsia" w:ascii="宋体" w:hAnsi="宋体"/>
          <w:sz w:val="24"/>
        </w:rPr>
        <w:t>设备（系统）供货、安装调试方案；</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6</w:t>
      </w:r>
      <w:r>
        <w:rPr>
          <w:rFonts w:hint="eastAsia" w:ascii="宋体" w:hAnsi="宋体"/>
          <w:sz w:val="24"/>
        </w:rPr>
        <w:t>质保与售后服务方案；</w:t>
      </w:r>
    </w:p>
    <w:p>
      <w:pPr>
        <w:spacing w:line="380" w:lineRule="exact"/>
        <w:ind w:firstLine="420"/>
        <w:rPr>
          <w:rFonts w:ascii="宋体" w:hAnsi="宋体"/>
          <w:sz w:val="24"/>
          <w:shd w:val="clear" w:color="auto" w:fill="FFFFFF" w:themeFill="background1"/>
        </w:rPr>
      </w:pPr>
      <w:r>
        <w:rPr>
          <w:rFonts w:hint="eastAsia" w:ascii="宋体" w:hAnsi="宋体"/>
          <w:sz w:val="24"/>
          <w:shd w:val="clear" w:color="auto" w:fill="FFFFFF" w:themeFill="background1"/>
        </w:rPr>
        <w:t>4.1</w:t>
      </w:r>
      <w:r>
        <w:rPr>
          <w:rFonts w:ascii="宋体" w:hAnsi="宋体"/>
          <w:sz w:val="24"/>
          <w:shd w:val="clear" w:color="auto" w:fill="FFFFFF" w:themeFill="background1"/>
        </w:rPr>
        <w:t>7</w:t>
      </w:r>
      <w:r>
        <w:rPr>
          <w:rFonts w:hint="eastAsia" w:ascii="宋体" w:hAnsi="宋体"/>
          <w:sz w:val="24"/>
          <w:shd w:val="clear" w:color="auto" w:fill="FFFFFF" w:themeFill="background1"/>
        </w:rPr>
        <w:t>企业类似业绩</w:t>
      </w:r>
      <w:r>
        <w:rPr>
          <w:rFonts w:hint="eastAsia" w:ascii="宋体" w:hAnsi="宋体"/>
          <w:b/>
          <w:sz w:val="24"/>
          <w:shd w:val="clear" w:color="auto" w:fill="FFFFFF" w:themeFill="background1"/>
        </w:rPr>
        <w:t>（201</w:t>
      </w:r>
      <w:r>
        <w:rPr>
          <w:rFonts w:ascii="宋体" w:hAnsi="宋体"/>
          <w:b/>
          <w:sz w:val="24"/>
          <w:shd w:val="clear" w:color="auto" w:fill="FFFFFF" w:themeFill="background1"/>
        </w:rPr>
        <w:t>9</w:t>
      </w:r>
      <w:r>
        <w:rPr>
          <w:rFonts w:hint="eastAsia" w:ascii="宋体" w:hAnsi="宋体"/>
          <w:b/>
          <w:sz w:val="24"/>
          <w:shd w:val="clear" w:color="auto" w:fill="FFFFFF" w:themeFill="background1"/>
        </w:rPr>
        <w:t>年</w:t>
      </w:r>
      <w:r>
        <w:rPr>
          <w:rFonts w:ascii="宋体" w:hAnsi="宋体"/>
          <w:b/>
          <w:sz w:val="24"/>
          <w:shd w:val="clear" w:color="auto" w:fill="FFFFFF" w:themeFill="background1"/>
        </w:rPr>
        <w:t>7</w:t>
      </w:r>
      <w:r>
        <w:rPr>
          <w:rFonts w:hint="eastAsia" w:ascii="宋体" w:hAnsi="宋体"/>
          <w:b/>
          <w:sz w:val="24"/>
          <w:shd w:val="clear" w:color="auto" w:fill="FFFFFF" w:themeFill="background1"/>
        </w:rPr>
        <w:t>月1日以来类似业绩，复印件加盖公章备查）</w:t>
      </w:r>
      <w:r>
        <w:rPr>
          <w:rFonts w:hint="eastAsia" w:ascii="宋体" w:hAnsi="宋体"/>
          <w:sz w:val="24"/>
          <w:shd w:val="clear" w:color="auto" w:fill="FFFFFF" w:themeFill="background1"/>
        </w:rPr>
        <w:t>；</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8</w:t>
      </w:r>
      <w:r>
        <w:rPr>
          <w:rFonts w:hint="eastAsia" w:ascii="宋体" w:hAnsi="宋体"/>
          <w:sz w:val="24"/>
        </w:rPr>
        <w:t>投标人资格条件中对企业资质有要求时须提供相关资格证书复印件；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9</w:t>
      </w:r>
      <w:r>
        <w:rPr>
          <w:rFonts w:hint="eastAsia" w:ascii="宋体" w:hAnsi="宋体"/>
          <w:sz w:val="24"/>
        </w:rPr>
        <w:t>未被“信用中国”网站（www.creditchina.gov.cn）列入失信执行人、重大税收违法案件当事人名单、政府采购严重违法失信行为记录名单，否则投标无效，</w:t>
      </w:r>
      <w:r>
        <w:rPr>
          <w:rFonts w:hint="eastAsia" w:ascii="宋体" w:hAnsi="宋体"/>
          <w:b/>
          <w:sz w:val="24"/>
        </w:rPr>
        <w:t>须提供信用查询截图</w:t>
      </w:r>
      <w:r>
        <w:rPr>
          <w:rFonts w:hint="eastAsia" w:ascii="宋体" w:hAnsi="宋体"/>
          <w:sz w:val="24"/>
        </w:rPr>
        <w:t>。</w:t>
      </w:r>
    </w:p>
    <w:p>
      <w:pPr>
        <w:spacing w:line="380" w:lineRule="exact"/>
        <w:ind w:firstLine="420"/>
        <w:rPr>
          <w:rFonts w:ascii="宋体" w:hAnsi="宋体"/>
          <w:sz w:val="24"/>
        </w:rPr>
      </w:pPr>
      <w:r>
        <w:rPr>
          <w:rFonts w:hint="eastAsia" w:ascii="宋体" w:hAnsi="宋体"/>
          <w:sz w:val="24"/>
        </w:rPr>
        <w:t>4.</w:t>
      </w:r>
      <w:r>
        <w:rPr>
          <w:rFonts w:ascii="宋体" w:hAnsi="宋体"/>
          <w:sz w:val="24"/>
        </w:rPr>
        <w:t>20</w:t>
      </w:r>
      <w:r>
        <w:rPr>
          <w:rFonts w:hint="eastAsia" w:ascii="宋体" w:hAnsi="宋体"/>
          <w:sz w:val="24"/>
        </w:rPr>
        <w:t>采购文件中要求提交的和投标人认为需要提供的其它说明和资料。</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5.投标要求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5.1 所有投标均以人民币“元”为计算单位。</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5.2投标人要按报价表(统一格式)的内容填写单价、总价及其他事项，并由法定代表人或投标人代表签署。</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5.3采购人不接受不明确的投标方案和投标，但投标人可投报不同的确定方案。投标人对投标如果有说明应在投标一览表显著处予以注明。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5.5最低投标价不能作为成交的保证。</w:t>
      </w:r>
    </w:p>
    <w:p>
      <w:pPr>
        <w:pStyle w:val="25"/>
        <w:numPr>
          <w:ilvl w:val="0"/>
          <w:numId w:val="0"/>
        </w:numPr>
        <w:spacing w:line="340" w:lineRule="exact"/>
        <w:ind w:firstLine="354" w:firstLineChars="14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6.投标费用</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6.1 投标人应提供的费用详见“磋商公告”相应要求。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6.2未按前述各款要求提交费用的将被视为无效投标。</w:t>
      </w:r>
    </w:p>
    <w:p>
      <w:pPr>
        <w:pStyle w:val="25"/>
        <w:numPr>
          <w:ilvl w:val="0"/>
          <w:numId w:val="0"/>
        </w:numPr>
        <w:spacing w:line="340" w:lineRule="exact"/>
        <w:ind w:firstLine="236" w:firstLineChars="98"/>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7.投标文件的有效期</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5"/>
        <w:numPr>
          <w:ilvl w:val="0"/>
          <w:numId w:val="0"/>
        </w:numPr>
        <w:spacing w:line="340" w:lineRule="exact"/>
        <w:ind w:firstLine="234" w:firstLineChars="9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8.投标文件的签署及其他规定</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8.1 组成投标文件的各项文件均应遵守本条。</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8.2 法定代表人如果授权投标人代表处理一切与本次招投标有关事宜，须将书面形式的《法定代表人授权委托书》（按照本采购文件第四部分格式填写）</w:t>
      </w:r>
      <w:r>
        <w:rPr>
          <w:rFonts w:hint="eastAsia" w:cs="华文楷体" w:asciiTheme="minorEastAsia" w:hAnsiTheme="minorEastAsia" w:eastAsiaTheme="minorEastAsia"/>
          <w:b/>
          <w:color w:val="000000" w:themeColor="text1"/>
          <w:sz w:val="24"/>
          <w:szCs w:val="24"/>
        </w:rPr>
        <w:t>原件附在投标文件中。</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8.4 投标文件一式</w:t>
      </w:r>
      <w:r>
        <w:rPr>
          <w:rFonts w:cs="华文楷体" w:asciiTheme="minorEastAsia" w:hAnsiTheme="minorEastAsia" w:eastAsiaTheme="minorEastAsia"/>
          <w:color w:val="000000" w:themeColor="text1"/>
          <w:kern w:val="2"/>
          <w:sz w:val="24"/>
          <w:szCs w:val="24"/>
        </w:rPr>
        <w:t>6</w:t>
      </w:r>
      <w:r>
        <w:rPr>
          <w:rFonts w:hint="eastAsia" w:cs="华文楷体" w:asciiTheme="minorEastAsia" w:hAnsiTheme="minorEastAsia" w:eastAsiaTheme="minorEastAsia"/>
          <w:color w:val="000000" w:themeColor="text1"/>
          <w:kern w:val="2"/>
          <w:sz w:val="24"/>
          <w:szCs w:val="24"/>
        </w:rPr>
        <w:t>份，其中正本1份，副本</w:t>
      </w:r>
      <w:r>
        <w:rPr>
          <w:rFonts w:cs="华文楷体" w:asciiTheme="minorEastAsia" w:hAnsiTheme="minorEastAsia" w:eastAsiaTheme="minorEastAsia"/>
          <w:color w:val="000000" w:themeColor="text1"/>
          <w:kern w:val="2"/>
          <w:sz w:val="24"/>
          <w:szCs w:val="24"/>
        </w:rPr>
        <w:t>5</w:t>
      </w:r>
      <w:r>
        <w:rPr>
          <w:rFonts w:hint="eastAsia" w:cs="华文楷体" w:asciiTheme="minorEastAsia" w:hAnsiTheme="minorEastAsia" w:eastAsiaTheme="minorEastAsia"/>
          <w:color w:val="000000" w:themeColor="text1"/>
          <w:kern w:val="2"/>
          <w:sz w:val="24"/>
          <w:szCs w:val="24"/>
        </w:rPr>
        <w:t>份。</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8.5 投标文件的正本必须用不褪色的蓝黑墨水填写或打印，注明“正本”字样，并由投标人的法定代表人或投标人代表签字。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8.6 投标文件应字迹清楚、内容齐全、不得涂改和增删。如果有修改错漏处，修改处须有投标人公章及法定代表人或投标人代表签字。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8.7因投标文件字迹潦草或表达不清所引起的不利后果由投标人承担。</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三、投标文件的递交</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1.投标文件的密封及标记</w:t>
      </w:r>
    </w:p>
    <w:p>
      <w:pPr>
        <w:pStyle w:val="25"/>
        <w:numPr>
          <w:ilvl w:val="0"/>
          <w:numId w:val="0"/>
        </w:numPr>
        <w:tabs>
          <w:tab w:val="left" w:pos="0"/>
        </w:tabs>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1.1投标文件应按以下方法分别装袋密封：</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投标文件统一密封为一袋，内装投标文件正副本共一式</w:t>
      </w:r>
      <w:r>
        <w:rPr>
          <w:rFonts w:cs="华文楷体" w:asciiTheme="minorEastAsia" w:hAnsiTheme="minorEastAsia" w:eastAsiaTheme="minorEastAsia"/>
          <w:color w:val="000000" w:themeColor="text1"/>
          <w:sz w:val="24"/>
        </w:rPr>
        <w:t>6</w:t>
      </w:r>
      <w:r>
        <w:rPr>
          <w:rFonts w:hint="eastAsia" w:cs="华文楷体" w:asciiTheme="minorEastAsia" w:hAnsiTheme="minorEastAsia" w:eastAsiaTheme="minorEastAsia"/>
          <w:color w:val="000000" w:themeColor="text1"/>
          <w:sz w:val="24"/>
        </w:rPr>
        <w:t>份（及投标人认为有必要提交的其他资料）。</w:t>
      </w:r>
      <w:r>
        <w:rPr>
          <w:rFonts w:hint="eastAsia" w:ascii="宋体" w:hAnsi="宋体"/>
          <w:b/>
          <w:sz w:val="24"/>
        </w:rPr>
        <w:t>投标文件正副本装于一个密封袋内，不得分开封装。</w:t>
      </w:r>
      <w:r>
        <w:rPr>
          <w:rFonts w:hint="eastAsia" w:cs="华文楷体" w:asciiTheme="minorEastAsia" w:hAnsiTheme="minorEastAsia" w:eastAsiaTheme="minorEastAsia"/>
          <w:color w:val="000000" w:themeColor="text1"/>
          <w:sz w:val="24"/>
        </w:rPr>
        <w:t>封口处应有法定代表人或投标人代表的签字及投标人公章。封皮上写明项目编号、项目名称、投标人全称、地址，并注明“投标时启封”字样。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2.投标截止时间</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2.1投标文件须按照采购文件规定的时间、地点送达。</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2.2采购人推迟投标截止时间时，采购人和投标人的权利及义务将受到新的截止期的约束。</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2.3拒绝接收在提交投标文件截止时间以后送达的投标文件。</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3.投标文件的修改和撤回</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3.2投标人修改投标文件的书面材料，须密封提交，同时应在封套上标明“修改投标文件(并注明项目编号)”和“投标时启封”字样。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3.3在提交投标文件截止时间之后，投标人不得撤回投标。否则撤回投标文件的行为将被记录在案，投标人今后参与同类采购项目的机会可能会受到影响。</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四、开标评标</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1.评标原则</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1.1投标人资格与资质条件是否符合采购文件的要求；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1.2投标人在投标文件中提交的商务和技术文件是否响应本采购文件的要求；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1.3投标人的技术文件是否合理可行；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1.4投标人是否具备良好的经营状况和履行本项目的能力。</w:t>
      </w:r>
    </w:p>
    <w:p>
      <w:pPr>
        <w:pStyle w:val="25"/>
        <w:numPr>
          <w:ilvl w:val="0"/>
          <w:numId w:val="0"/>
        </w:numPr>
        <w:ind w:left="420" w:leftChars="200"/>
        <w:rPr>
          <w:b/>
          <w:sz w:val="24"/>
          <w:szCs w:val="24"/>
        </w:rPr>
      </w:pPr>
      <w:r>
        <w:rPr>
          <w:rFonts w:hint="eastAsia"/>
          <w:b/>
          <w:sz w:val="24"/>
          <w:szCs w:val="24"/>
        </w:rPr>
        <w:t>2.开标</w:t>
      </w:r>
    </w:p>
    <w:p>
      <w:pPr>
        <w:pStyle w:val="25"/>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25"/>
        <w:numPr>
          <w:ilvl w:val="0"/>
          <w:numId w:val="0"/>
        </w:numPr>
        <w:tabs>
          <w:tab w:val="left" w:pos="420"/>
        </w:tabs>
        <w:ind w:left="420" w:leftChars="200"/>
        <w:rPr>
          <w:b/>
          <w:sz w:val="24"/>
          <w:szCs w:val="24"/>
        </w:rPr>
      </w:pPr>
      <w:r>
        <w:rPr>
          <w:rFonts w:hint="eastAsia"/>
          <w:b/>
          <w:sz w:val="24"/>
          <w:szCs w:val="24"/>
        </w:rPr>
        <w:t>4.评标</w:t>
      </w:r>
    </w:p>
    <w:p>
      <w:pPr>
        <w:ind w:firstLine="480" w:firstLineChars="200"/>
        <w:rPr>
          <w:rFonts w:ascii="宋体" w:hAnsi="宋体"/>
          <w:color w:val="000000"/>
          <w:sz w:val="24"/>
        </w:rPr>
      </w:pPr>
      <w:r>
        <w:rPr>
          <w:rFonts w:hint="eastAsia" w:ascii="宋体" w:hAnsi="宋体"/>
          <w:color w:val="000000"/>
          <w:sz w:val="24"/>
        </w:rPr>
        <w:t>在学校监督部门参与下，由我校招标办负责组建的评标小组本着公平、公正的原则，采用综合评分法评标。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五、授予合同</w:t>
      </w:r>
    </w:p>
    <w:p>
      <w:pPr>
        <w:spacing w:line="340" w:lineRule="exact"/>
        <w:ind w:firstLine="482"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b/>
          <w:color w:val="000000" w:themeColor="text1"/>
          <w:sz w:val="24"/>
        </w:rPr>
        <w:t>1.授予合同的顺序</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2.采购人拒绝投标的权利</w:t>
      </w:r>
    </w:p>
    <w:p>
      <w:pPr>
        <w:pStyle w:val="25"/>
        <w:numPr>
          <w:ilvl w:val="0"/>
          <w:numId w:val="0"/>
        </w:numPr>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出现下列情况之一时，采购人有权拒绝所有投标，并将理由通知所有投标人：</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2.1出现影响采购公正的违法、违规行为的；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rPr>
        <w:t>2.2投标人的投标均超过了</w:t>
      </w:r>
      <w:r>
        <w:rPr>
          <w:rFonts w:hint="eastAsia" w:cs="华文楷体" w:asciiTheme="minorEastAsia" w:hAnsiTheme="minorEastAsia" w:eastAsiaTheme="minorEastAsia"/>
          <w:color w:val="000000" w:themeColor="text1"/>
          <w:sz w:val="24"/>
          <w:shd w:val="clear" w:color="auto" w:fill="FFFFFF" w:themeFill="background1"/>
        </w:rPr>
        <w:t>采购预算，采购人不能支付的；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shd w:val="clear" w:color="auto" w:fill="FFFFFF" w:themeFill="background1"/>
        </w:rPr>
        <w:t>2.3因重大变故，采购任务取消的。</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3.成交通知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3.1在确定成交人后三日后，招标人需到招标办领取成交通知书。</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3.2采购人同时在江苏师范大学招投标网（http://ztbb.jsnu.edu.cn）发布成交信息。采购人对未成交的投标人不做未成交原因的解释。</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3.3成交通知书是合同的组成部分。</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4.签订合同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4.2成交人应按照采购文件、投标文件及评审过程中有关的澄清说明或补正文件的内容与采购人签订合同。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4.3投标人一旦成交，签订合同后不得分包或转包，否则将被视为成交后撤回投标处理。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成交后无正当理由拒不与采购人签订采购合同或不按约定签订或履行合同，采购人将其失信行为列入不良记录并报省财政厅备案，且3年内禁止在我校参与招投标活动。</w:t>
      </w:r>
    </w:p>
    <w:p>
      <w:pPr>
        <w:ind w:firstLine="482" w:firstLineChars="200"/>
        <w:rPr>
          <w:rFonts w:ascii="宋体" w:hAnsi="宋体"/>
          <w:b/>
          <w:sz w:val="24"/>
          <w:shd w:val="clear" w:color="auto" w:fill="FFFFFF" w:themeFill="background1"/>
        </w:rPr>
      </w:pPr>
      <w:r>
        <w:rPr>
          <w:rFonts w:hint="eastAsia" w:ascii="宋体" w:hAnsi="宋体"/>
          <w:b/>
          <w:sz w:val="24"/>
          <w:shd w:val="clear" w:color="auto" w:fill="FFFFFF" w:themeFill="background1"/>
        </w:rPr>
        <w:t>4.6 合同主要条款详见“磋商公告附件”。</w:t>
      </w:r>
    </w:p>
    <w:p>
      <w:pPr>
        <w:ind w:firstLine="482" w:firstLineChars="200"/>
        <w:rPr>
          <w:rFonts w:ascii="宋体" w:hAnsi="宋体"/>
          <w:b/>
          <w:sz w:val="24"/>
          <w:shd w:val="clear" w:color="auto" w:fill="FFC000"/>
        </w:rPr>
      </w:pPr>
    </w:p>
    <w:p>
      <w:pPr>
        <w:pStyle w:val="27"/>
        <w:spacing w:before="0" w:line="340" w:lineRule="exact"/>
        <w:ind w:firstLine="361" w:firstLineChars="15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六、询问和质疑</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1.投标人有权就招标程序或签订合同的事宜提出质疑</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1.1投标人对采购事项有疑问的，可以向采购人提出询问。</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1.4质疑投标人对采购人或对采购人的答复不满意，或采购人未在规定的时间内做出答复的，可以在答复期满后15个工作日内向江苏师范大学有关监督部门投诉。</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七、保密和披露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2.投标人自领取采购文件之日起，须承诺承担本招标项目下的保密义务，不得将因本次招标获得的信息向第三人外传。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3.采购人有权将投标人提供的所有资料向其他政府部门或有关的非政府机构负责评审投标文件的人员或与评审有关的人员披露。</w:t>
      </w:r>
    </w:p>
    <w:p>
      <w:pPr>
        <w:spacing w:line="340" w:lineRule="exact"/>
        <w:ind w:firstLine="480" w:firstLineChars="200"/>
        <w:jc w:val="left"/>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八、无效标书的判定</w:t>
      </w: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投标文件有下列情况之一的，应作为无效投标文件，不再参加评标：</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投标文件中的投标函未加盖投标人的公章的，或者企业法定代表人委托代理人没有合法、有效的委托书（原件）或委托书无委托代理人签字或印章的。</w:t>
      </w:r>
    </w:p>
    <w:p>
      <w:pPr>
        <w:numPr>
          <w:ilvl w:val="0"/>
          <w:numId w:val="3"/>
        </w:numPr>
        <w:ind w:left="0" w:firstLine="480" w:firstLineChars="200"/>
        <w:rPr>
          <w:rFonts w:ascii="宋体" w:hAnsi="宋体"/>
          <w:sz w:val="24"/>
        </w:rPr>
      </w:pPr>
      <w:r>
        <w:rPr>
          <w:rFonts w:hint="eastAsia" w:ascii="宋体" w:hAnsi="宋体"/>
          <w:sz w:val="24"/>
        </w:rPr>
        <w:t>未按采购文件要求缴纳相关费用的。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未按采购文件规定的格式填写，内容不全或关键字模糊、无法辨认的。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投标人名称或组织机构等与原件不一致的。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投标人未通过资格审查和符合性审查的。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投标人资格条件不符合国家有关规定或磋商文件要求的。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明显不符合技术规范、技术标准的要求。</w:t>
      </w:r>
    </w:p>
    <w:p>
      <w:pPr>
        <w:numPr>
          <w:ilvl w:val="0"/>
          <w:numId w:val="3"/>
        </w:numPr>
        <w:spacing w:line="360" w:lineRule="exact"/>
        <w:ind w:left="0" w:firstLine="480" w:firstLineChars="200"/>
        <w:rPr>
          <w:rFonts w:ascii="宋体" w:hAnsi="宋体" w:cs="楷体"/>
          <w:sz w:val="24"/>
          <w:shd w:val="clear" w:color="auto" w:fill="FFFFFF" w:themeFill="background1"/>
        </w:rPr>
      </w:pPr>
      <w:r>
        <w:rPr>
          <w:rFonts w:hint="eastAsia" w:ascii="宋体" w:hAnsi="宋体" w:cs="楷体"/>
          <w:sz w:val="24"/>
        </w:rPr>
        <w:t>投标报价超过磋商文件规</w:t>
      </w:r>
      <w:r>
        <w:rPr>
          <w:rFonts w:hint="eastAsia" w:ascii="宋体" w:hAnsi="宋体" w:cs="楷体"/>
          <w:sz w:val="24"/>
          <w:shd w:val="clear" w:color="auto" w:fill="FFFFFF" w:themeFill="background1"/>
        </w:rPr>
        <w:t>定的最高限价的。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不同投标人的投标文件出现了评标小组认为不应当雷同的情况。</w:t>
      </w:r>
    </w:p>
    <w:p>
      <w:pPr>
        <w:spacing w:line="360" w:lineRule="exact"/>
        <w:ind w:left="480"/>
        <w:rPr>
          <w:rFonts w:ascii="宋体" w:hAnsi="宋体" w:cs="楷体"/>
          <w:sz w:val="24"/>
        </w:rPr>
      </w:pPr>
      <w:r>
        <w:rPr>
          <w:rFonts w:hint="eastAsia" w:ascii="宋体" w:hAnsi="宋体" w:cs="楷体"/>
          <w:sz w:val="24"/>
        </w:rPr>
        <w:t>10.投标文件提出了不能满足磋商文件要求或采购人不能接受的支付办法。</w:t>
      </w:r>
    </w:p>
    <w:p>
      <w:pPr>
        <w:spacing w:line="360" w:lineRule="exact"/>
        <w:ind w:left="480"/>
        <w:rPr>
          <w:rFonts w:ascii="宋体" w:hAnsi="宋体" w:cs="楷体"/>
          <w:sz w:val="24"/>
        </w:rPr>
      </w:pPr>
      <w:r>
        <w:rPr>
          <w:rFonts w:hint="eastAsia" w:ascii="宋体" w:hAnsi="宋体" w:cs="楷体"/>
          <w:sz w:val="24"/>
        </w:rPr>
        <w:t>11.串通投标、以行贿手段谋取中标或者以其他弄虚作假方式投标的。</w:t>
      </w:r>
    </w:p>
    <w:p>
      <w:pPr>
        <w:widowControl/>
        <w:jc w:val="left"/>
        <w:rPr>
          <w:rFonts w:cs="华文楷体" w:asciiTheme="minorEastAsia" w:hAnsiTheme="minorEastAsia" w:eastAsiaTheme="minorEastAsia"/>
          <w:color w:val="000000" w:themeColor="text1"/>
          <w:sz w:val="24"/>
        </w:rPr>
      </w:pPr>
      <w:r>
        <w:rPr>
          <w:rFonts w:cs="华文楷体" w:asciiTheme="minorEastAsia" w:hAnsiTheme="minorEastAsia" w:eastAsiaTheme="minorEastAsia"/>
          <w:color w:val="000000" w:themeColor="text1"/>
          <w:sz w:val="24"/>
        </w:rPr>
        <w:br w:type="page"/>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rPr>
      </w:pPr>
      <w:r>
        <w:rPr>
          <w:rFonts w:hint="eastAsia" w:cs="华文楷体" w:asciiTheme="minorEastAsia" w:hAnsiTheme="minorEastAsia" w:eastAsiaTheme="minorEastAsia"/>
          <w:b/>
          <w:bCs/>
          <w:color w:val="000000" w:themeColor="text1"/>
          <w:kern w:val="44"/>
          <w:sz w:val="28"/>
          <w:szCs w:val="28"/>
        </w:rPr>
        <w:t>第二章项目概况及主要技术要求</w:t>
      </w:r>
    </w:p>
    <w:p>
      <w:pPr>
        <w:jc w:val="center"/>
        <w:rPr>
          <w:rFonts w:ascii="黑体" w:hAnsi="黑体" w:eastAsia="黑体"/>
          <w:color w:val="555555"/>
          <w:sz w:val="24"/>
        </w:rPr>
      </w:pPr>
    </w:p>
    <w:p>
      <w:pPr>
        <w:rPr>
          <w:rFonts w:asciiTheme="minorEastAsia" w:hAnsiTheme="minorEastAsia"/>
          <w:sz w:val="24"/>
        </w:rPr>
      </w:pPr>
    </w:p>
    <w:p>
      <w:pPr>
        <w:spacing w:line="340" w:lineRule="exact"/>
        <w:rPr>
          <w:rFonts w:cs="华文楷体" w:asciiTheme="minorEastAsia" w:hAnsiTheme="minorEastAsia" w:eastAsiaTheme="minorEastAsia"/>
          <w:b/>
          <w:sz w:val="24"/>
        </w:rPr>
      </w:pPr>
      <w:r>
        <w:rPr>
          <w:rFonts w:hint="eastAsia" w:cs="华文楷体" w:asciiTheme="minorEastAsia" w:hAnsiTheme="minorEastAsia" w:eastAsiaTheme="minorEastAsia"/>
          <w:b/>
          <w:sz w:val="24"/>
        </w:rPr>
        <w:t>一、参数要求：</w:t>
      </w:r>
    </w:p>
    <w:p>
      <w:pPr>
        <w:pStyle w:val="41"/>
        <w:ind w:firstLine="120" w:firstLineChars="50"/>
        <w:rPr>
          <w:rFonts w:ascii="宋体" w:hAnsi="宋体"/>
          <w:kern w:val="0"/>
          <w:sz w:val="24"/>
          <w:szCs w:val="21"/>
        </w:rPr>
      </w:pPr>
      <w:r>
        <w:rPr>
          <w:rFonts w:hint="eastAsia" w:ascii="宋体" w:hAnsi="宋体" w:eastAsia="宋体" w:cs="华文楷体"/>
          <w:color w:val="000000"/>
          <w:kern w:val="0"/>
          <w:sz w:val="24"/>
          <w:szCs w:val="24"/>
        </w:rPr>
        <w:t>1.高效转染真核细胞（哺乳动物细胞、植物细胞，真菌）和原核细胞（大肠杆菌、谷氨酸帮杆菌等）；动物细胞融合；植物原生质体融合；核转移等。</w:t>
      </w:r>
    </w:p>
    <w:p>
      <w:pPr>
        <w:pStyle w:val="41"/>
        <w:ind w:left="648" w:hanging="648" w:hangingChars="270"/>
        <w:jc w:val="left"/>
        <w:rPr>
          <w:rFonts w:ascii="宋体" w:hAnsi="宋体"/>
          <w:kern w:val="0"/>
          <w:sz w:val="24"/>
          <w:szCs w:val="21"/>
        </w:rPr>
      </w:pPr>
      <w:r>
        <w:rPr>
          <w:rFonts w:ascii="宋体" w:hAnsi="宋体"/>
          <w:kern w:val="0"/>
          <w:sz w:val="24"/>
          <w:szCs w:val="21"/>
        </w:rPr>
        <w:t>2.</w:t>
      </w:r>
      <w:r>
        <w:rPr>
          <w:rFonts w:hint="eastAsia" w:ascii="宋体" w:hAnsi="宋体"/>
          <w:kern w:val="0"/>
          <w:sz w:val="24"/>
          <w:szCs w:val="21"/>
        </w:rPr>
        <w:t>通过贴壁电极实现贴壁细胞原位转染，大大提高转染效率和细胞成活率。</w:t>
      </w:r>
    </w:p>
    <w:p>
      <w:pPr>
        <w:pStyle w:val="41"/>
        <w:ind w:left="648" w:hanging="648" w:hangingChars="270"/>
        <w:jc w:val="left"/>
        <w:rPr>
          <w:rFonts w:ascii="宋体" w:hAnsi="宋体"/>
          <w:kern w:val="0"/>
          <w:sz w:val="24"/>
          <w:szCs w:val="21"/>
        </w:rPr>
      </w:pPr>
      <w:r>
        <w:rPr>
          <w:rFonts w:ascii="宋体" w:hAnsi="宋体"/>
          <w:kern w:val="0"/>
          <w:sz w:val="24"/>
          <w:szCs w:val="21"/>
        </w:rPr>
        <w:t>3.</w:t>
      </w:r>
      <w:r>
        <w:rPr>
          <w:rFonts w:hint="eastAsia" w:ascii="宋体" w:hAnsi="宋体"/>
          <w:kern w:val="0"/>
          <w:sz w:val="24"/>
          <w:szCs w:val="21"/>
        </w:rPr>
        <w:t>配合高效电转染试剂盒，实现原代细胞等难转细胞的高效转染。</w:t>
      </w:r>
    </w:p>
    <w:p>
      <w:pPr>
        <w:pStyle w:val="41"/>
        <w:ind w:left="-2" w:leftChars="-1" w:firstLine="0" w:firstLineChars="0"/>
        <w:jc w:val="left"/>
        <w:rPr>
          <w:rFonts w:ascii="宋体" w:hAnsi="宋体" w:eastAsia="宋体" w:cs="华文楷体"/>
          <w:color w:val="000000"/>
          <w:kern w:val="0"/>
          <w:sz w:val="24"/>
          <w:szCs w:val="24"/>
        </w:rPr>
      </w:pPr>
      <w:r>
        <w:rPr>
          <w:rFonts w:hint="eastAsia" w:ascii="宋体" w:hAnsi="宋体" w:eastAsia="宋体" w:cs="华文楷体"/>
          <w:color w:val="000000"/>
          <w:kern w:val="0"/>
          <w:sz w:val="24"/>
          <w:szCs w:val="24"/>
        </w:rPr>
        <w:t>4.可外接专业电极实现活体</w:t>
      </w:r>
      <w:r>
        <w:rPr>
          <w:rFonts w:ascii="宋体" w:hAnsi="宋体" w:eastAsia="宋体" w:cs="华文楷体"/>
          <w:color w:val="000000"/>
          <w:kern w:val="0"/>
          <w:sz w:val="24"/>
          <w:szCs w:val="24"/>
        </w:rPr>
        <w:t>/</w:t>
      </w:r>
      <w:r>
        <w:rPr>
          <w:rFonts w:hint="eastAsia" w:ascii="宋体" w:hAnsi="宋体" w:eastAsia="宋体" w:cs="华文楷体"/>
          <w:color w:val="000000"/>
          <w:kern w:val="0"/>
          <w:sz w:val="24"/>
          <w:szCs w:val="24"/>
        </w:rPr>
        <w:t>离体、动植物组织、离体、植物原生质体转染、In Ovo、In Utero等电转染应用。</w:t>
      </w:r>
    </w:p>
    <w:p>
      <w:pPr>
        <w:pStyle w:val="41"/>
        <w:ind w:left="648" w:hanging="648" w:hangingChars="270"/>
        <w:jc w:val="left"/>
        <w:rPr>
          <w:rFonts w:ascii="宋体" w:hAnsi="宋体"/>
          <w:kern w:val="0"/>
          <w:sz w:val="24"/>
          <w:szCs w:val="21"/>
        </w:rPr>
      </w:pPr>
      <w:r>
        <w:rPr>
          <w:rFonts w:ascii="宋体" w:hAnsi="宋体"/>
          <w:kern w:val="0"/>
          <w:sz w:val="24"/>
          <w:szCs w:val="21"/>
        </w:rPr>
        <w:t>5.</w:t>
      </w:r>
      <w:r>
        <w:rPr>
          <w:rFonts w:hint="eastAsia" w:ascii="宋体" w:hAnsi="宋体"/>
          <w:kern w:val="0"/>
          <w:sz w:val="24"/>
          <w:szCs w:val="21"/>
        </w:rPr>
        <w:t>可外接96孔或25孔多孔板电击室实现高通量应用</w:t>
      </w:r>
    </w:p>
    <w:p>
      <w:pPr>
        <w:pStyle w:val="41"/>
        <w:ind w:left="648" w:hanging="648" w:hangingChars="270"/>
        <w:jc w:val="left"/>
        <w:rPr>
          <w:rFonts w:ascii="宋体" w:hAnsi="宋体"/>
          <w:kern w:val="0"/>
          <w:sz w:val="24"/>
          <w:szCs w:val="21"/>
        </w:rPr>
      </w:pPr>
      <w:r>
        <w:rPr>
          <w:rFonts w:ascii="宋体" w:hAnsi="宋体"/>
          <w:kern w:val="0"/>
          <w:sz w:val="24"/>
          <w:szCs w:val="21"/>
          <w:lang w:eastAsia="zh-TW"/>
        </w:rPr>
        <w:t>6</w:t>
      </w:r>
      <w:r>
        <w:rPr>
          <w:rFonts w:hint="eastAsia" w:ascii="宋体" w:hAnsi="宋体"/>
          <w:kern w:val="0"/>
          <w:sz w:val="24"/>
          <w:szCs w:val="21"/>
          <w:lang w:eastAsia="zh-TW"/>
        </w:rPr>
        <w:t>．</w:t>
      </w:r>
      <w:r>
        <w:rPr>
          <w:rFonts w:hint="eastAsia" w:ascii="宋体" w:hAnsi="宋体"/>
          <w:kern w:val="0"/>
          <w:sz w:val="24"/>
          <w:szCs w:val="21"/>
        </w:rPr>
        <w:t>独特设计的温和方波电脉冲系统，提供了更高的转染效率和细胞存活率</w:t>
      </w:r>
      <w:r>
        <w:rPr>
          <w:rFonts w:hint="eastAsia" w:ascii="宋体" w:hAnsi="宋体"/>
          <w:kern w:val="0"/>
          <w:sz w:val="24"/>
          <w:szCs w:val="21"/>
          <w:lang w:eastAsia="zh-TW"/>
        </w:rPr>
        <w:t>。</w:t>
      </w:r>
    </w:p>
    <w:p>
      <w:pPr>
        <w:pStyle w:val="41"/>
        <w:ind w:left="-2" w:leftChars="-1" w:firstLine="0" w:firstLineChars="0"/>
        <w:jc w:val="left"/>
        <w:rPr>
          <w:rFonts w:ascii="宋体" w:hAnsi="宋体"/>
          <w:kern w:val="0"/>
          <w:sz w:val="24"/>
          <w:szCs w:val="21"/>
          <w:lang w:eastAsia="zh-TW"/>
        </w:rPr>
      </w:pPr>
      <w:r>
        <w:rPr>
          <w:rFonts w:hint="eastAsia" w:ascii="宋体" w:hAnsi="宋体"/>
          <w:kern w:val="0"/>
          <w:sz w:val="24"/>
          <w:szCs w:val="21"/>
        </w:rPr>
        <w:t>7.超宽范围的电压脉冲和脉冲时间可调范围和可调精度，实现</w:t>
      </w:r>
      <w:r>
        <w:rPr>
          <w:rFonts w:hint="eastAsia" w:ascii="宋体" w:hAnsi="宋体"/>
          <w:kern w:val="0"/>
          <w:sz w:val="24"/>
          <w:szCs w:val="21"/>
          <w:lang w:eastAsia="zh-TW"/>
        </w:rPr>
        <w:t>高度的电脉冲准确性</w:t>
      </w:r>
      <w:r>
        <w:rPr>
          <w:rFonts w:hint="eastAsia" w:ascii="宋体" w:hAnsi="宋体"/>
          <w:kern w:val="0"/>
          <w:sz w:val="24"/>
          <w:szCs w:val="21"/>
        </w:rPr>
        <w:t>，满足各种电穿孔应用和需求的实验方案设定</w:t>
      </w:r>
      <w:r>
        <w:rPr>
          <w:rFonts w:hint="eastAsia" w:ascii="宋体" w:hAnsi="宋体"/>
          <w:kern w:val="0"/>
          <w:sz w:val="24"/>
          <w:szCs w:val="21"/>
          <w:lang w:eastAsia="zh-TW"/>
        </w:rPr>
        <w:t>。</w:t>
      </w:r>
    </w:p>
    <w:p>
      <w:pPr>
        <w:pStyle w:val="41"/>
        <w:tabs>
          <w:tab w:val="left" w:pos="2805"/>
        </w:tabs>
        <w:ind w:left="648" w:hanging="648" w:hangingChars="270"/>
        <w:jc w:val="left"/>
        <w:rPr>
          <w:rFonts w:ascii="宋体" w:hAnsi="宋体"/>
          <w:kern w:val="0"/>
          <w:sz w:val="24"/>
          <w:szCs w:val="21"/>
        </w:rPr>
      </w:pPr>
      <w:r>
        <w:rPr>
          <w:rFonts w:ascii="宋体" w:hAnsi="宋体"/>
          <w:kern w:val="0"/>
          <w:sz w:val="24"/>
          <w:szCs w:val="21"/>
        </w:rPr>
        <w:t>8.</w:t>
      </w:r>
      <w:r>
        <w:rPr>
          <w:rFonts w:hint="eastAsia" w:ascii="宋体" w:hAnsi="宋体"/>
          <w:kern w:val="0"/>
          <w:sz w:val="24"/>
          <w:szCs w:val="21"/>
        </w:rPr>
        <w:t>方波参数</w:t>
      </w:r>
      <w:r>
        <w:rPr>
          <w:rFonts w:ascii="宋体" w:hAnsi="宋体"/>
          <w:kern w:val="0"/>
          <w:sz w:val="24"/>
          <w:szCs w:val="21"/>
        </w:rPr>
        <w:tab/>
      </w:r>
    </w:p>
    <w:p>
      <w:pPr>
        <w:ind w:left="424" w:leftChars="202"/>
        <w:rPr>
          <w:rFonts w:ascii="宋体" w:hAnsi="宋体"/>
          <w:sz w:val="24"/>
        </w:rPr>
      </w:pPr>
      <w:r>
        <w:rPr>
          <w:rFonts w:ascii="宋体" w:hAnsi="宋体"/>
          <w:sz w:val="24"/>
        </w:rPr>
        <w:t>8.1</w:t>
      </w:r>
      <w:r>
        <w:rPr>
          <w:rFonts w:hint="eastAsia" w:ascii="宋体" w:hAnsi="宋体"/>
          <w:sz w:val="24"/>
        </w:rPr>
        <w:t>电压范围：低压 5-500V     1V增量</w:t>
      </w:r>
    </w:p>
    <w:p>
      <w:pPr>
        <w:ind w:left="424" w:leftChars="202" w:firstLine="1680" w:firstLineChars="700"/>
        <w:rPr>
          <w:rFonts w:ascii="宋体" w:hAnsi="宋体"/>
          <w:sz w:val="24"/>
        </w:rPr>
      </w:pPr>
      <w:r>
        <w:rPr>
          <w:rFonts w:hint="eastAsia" w:ascii="宋体" w:hAnsi="宋体"/>
          <w:sz w:val="24"/>
        </w:rPr>
        <w:t>高压 505-3000V  5V 增量</w:t>
      </w:r>
    </w:p>
    <w:p>
      <w:pPr>
        <w:ind w:left="424" w:leftChars="202"/>
        <w:rPr>
          <w:rFonts w:ascii="宋体" w:hAnsi="宋体"/>
          <w:sz w:val="24"/>
        </w:rPr>
      </w:pPr>
      <w:r>
        <w:rPr>
          <w:rFonts w:ascii="宋体" w:hAnsi="宋体"/>
          <w:sz w:val="24"/>
        </w:rPr>
        <w:t>8.2</w:t>
      </w:r>
      <w:r>
        <w:rPr>
          <w:rFonts w:hint="eastAsia" w:ascii="宋体" w:hAnsi="宋体"/>
          <w:sz w:val="24"/>
        </w:rPr>
        <w:t>脉冲时间：低压 10µsec</w:t>
      </w:r>
      <w:r>
        <w:rPr>
          <w:rFonts w:ascii="宋体" w:hAnsi="宋体"/>
          <w:sz w:val="24"/>
        </w:rPr>
        <w:t>-</w:t>
      </w:r>
      <w:r>
        <w:rPr>
          <w:rFonts w:hint="eastAsia" w:ascii="宋体" w:hAnsi="宋体"/>
          <w:sz w:val="24"/>
        </w:rPr>
        <w:t>999µ</w:t>
      </w:r>
      <w:r>
        <w:rPr>
          <w:rFonts w:ascii="宋体" w:hAnsi="宋体"/>
          <w:sz w:val="24"/>
        </w:rPr>
        <w:t>sec, 1</w:t>
      </w:r>
      <w:r>
        <w:rPr>
          <w:rFonts w:hint="eastAsia" w:ascii="宋体" w:hAnsi="宋体"/>
          <w:sz w:val="24"/>
        </w:rPr>
        <w:t>µ</w:t>
      </w:r>
      <w:r>
        <w:rPr>
          <w:rFonts w:ascii="宋体" w:hAnsi="宋体"/>
          <w:sz w:val="24"/>
        </w:rPr>
        <w:t xml:space="preserve">sec </w:t>
      </w:r>
      <w:r>
        <w:rPr>
          <w:rFonts w:hint="eastAsia" w:ascii="宋体" w:hAnsi="宋体"/>
          <w:sz w:val="24"/>
        </w:rPr>
        <w:t>增量</w:t>
      </w:r>
    </w:p>
    <w:p>
      <w:pPr>
        <w:ind w:left="424" w:leftChars="202"/>
        <w:rPr>
          <w:rFonts w:ascii="宋体" w:hAnsi="宋体"/>
          <w:sz w:val="24"/>
        </w:rPr>
      </w:pPr>
      <w:r>
        <w:rPr>
          <w:rFonts w:hint="eastAsia" w:ascii="宋体" w:hAnsi="宋体"/>
          <w:sz w:val="24"/>
        </w:rPr>
        <w:t xml:space="preserve">                   1 msec-999 msec， 1 msec增量</w:t>
      </w:r>
    </w:p>
    <w:p>
      <w:pPr>
        <w:ind w:left="424" w:leftChars="202" w:firstLine="1680" w:firstLineChars="700"/>
        <w:rPr>
          <w:rFonts w:ascii="宋体" w:hAnsi="宋体"/>
          <w:sz w:val="24"/>
        </w:rPr>
      </w:pPr>
      <w:r>
        <w:rPr>
          <w:rFonts w:hint="eastAsia" w:ascii="宋体" w:hAnsi="宋体"/>
          <w:sz w:val="24"/>
        </w:rPr>
        <w:t>高压 10 µsec-600µsec， 1µsec增量</w:t>
      </w:r>
    </w:p>
    <w:p>
      <w:pPr>
        <w:ind w:left="424" w:leftChars="202"/>
        <w:rPr>
          <w:rFonts w:ascii="宋体" w:hAnsi="宋体"/>
          <w:sz w:val="24"/>
        </w:rPr>
      </w:pPr>
      <w:r>
        <w:rPr>
          <w:rFonts w:ascii="宋体" w:hAnsi="宋体"/>
          <w:sz w:val="24"/>
        </w:rPr>
        <w:t>8.3</w:t>
      </w:r>
      <w:r>
        <w:rPr>
          <w:rFonts w:hint="eastAsia" w:ascii="宋体" w:hAnsi="宋体"/>
          <w:sz w:val="24"/>
        </w:rPr>
        <w:t xml:space="preserve">脉冲间隔时间：100 msec-10 sec                   </w:t>
      </w:r>
    </w:p>
    <w:p>
      <w:pPr>
        <w:ind w:left="424" w:leftChars="202"/>
        <w:rPr>
          <w:rFonts w:ascii="宋体" w:hAnsi="宋体"/>
          <w:sz w:val="24"/>
        </w:rPr>
      </w:pPr>
      <w:r>
        <w:rPr>
          <w:rFonts w:ascii="宋体" w:hAnsi="宋体"/>
          <w:sz w:val="24"/>
        </w:rPr>
        <w:t>8.4</w:t>
      </w:r>
      <w:r>
        <w:rPr>
          <w:rFonts w:hint="eastAsia" w:ascii="宋体" w:hAnsi="宋体"/>
          <w:sz w:val="24"/>
        </w:rPr>
        <w:t>脉冲次数：1-99次（每个样本）；1</w:t>
      </w:r>
      <w:r>
        <w:rPr>
          <w:rFonts w:ascii="宋体" w:hAnsi="宋体"/>
          <w:sz w:val="24"/>
        </w:rPr>
        <w:t>-120</w:t>
      </w:r>
      <w:r>
        <w:rPr>
          <w:rFonts w:hint="eastAsia" w:ascii="宋体" w:hAnsi="宋体"/>
          <w:sz w:val="24"/>
        </w:rPr>
        <w:t>次（高通量电转，1</w:t>
      </w:r>
      <w:r>
        <w:rPr>
          <w:rFonts w:ascii="宋体" w:hAnsi="宋体"/>
          <w:sz w:val="24"/>
        </w:rPr>
        <w:t>0</w:t>
      </w:r>
      <w:r>
        <w:rPr>
          <w:rFonts w:hint="eastAsia" w:ascii="宋体" w:hAnsi="宋体"/>
          <w:sz w:val="24"/>
        </w:rPr>
        <w:t>个脉冲/样本）</w:t>
      </w:r>
    </w:p>
    <w:p>
      <w:pPr>
        <w:ind w:left="424" w:leftChars="202"/>
        <w:rPr>
          <w:rFonts w:ascii="宋体" w:hAnsi="宋体"/>
          <w:sz w:val="24"/>
        </w:rPr>
      </w:pPr>
      <w:r>
        <w:rPr>
          <w:rFonts w:ascii="宋体" w:hAnsi="宋体"/>
          <w:sz w:val="24"/>
        </w:rPr>
        <w:t>8.5</w:t>
      </w:r>
      <w:r>
        <w:rPr>
          <w:rFonts w:hint="eastAsia" w:ascii="宋体" w:hAnsi="宋体"/>
          <w:sz w:val="24"/>
        </w:rPr>
        <w:t>电容：低压</w:t>
      </w:r>
      <w:r>
        <w:rPr>
          <w:rFonts w:ascii="宋体" w:hAnsi="宋体"/>
          <w:sz w:val="24"/>
        </w:rPr>
        <w:t>3775</w:t>
      </w:r>
      <w:r>
        <w:rPr>
          <w:rFonts w:hint="eastAsia" w:ascii="宋体" w:hAnsi="宋体"/>
          <w:sz w:val="24"/>
        </w:rPr>
        <w:t>µF，高压</w:t>
      </w:r>
      <w:r>
        <w:rPr>
          <w:rFonts w:ascii="宋体" w:hAnsi="宋体"/>
          <w:sz w:val="24"/>
        </w:rPr>
        <w:t>85</w:t>
      </w:r>
      <w:r>
        <w:rPr>
          <w:rFonts w:hint="eastAsia" w:ascii="宋体" w:hAnsi="宋体"/>
          <w:sz w:val="24"/>
        </w:rPr>
        <w:t xml:space="preserve">µF     </w:t>
      </w:r>
    </w:p>
    <w:p>
      <w:pPr>
        <w:ind w:firstLine="480" w:firstLineChars="200"/>
        <w:rPr>
          <w:rFonts w:ascii="宋体" w:hAnsi="宋体"/>
          <w:sz w:val="24"/>
        </w:rPr>
      </w:pPr>
      <w:r>
        <w:rPr>
          <w:rFonts w:ascii="宋体" w:hAnsi="宋体"/>
          <w:sz w:val="24"/>
        </w:rPr>
        <w:t>8.</w:t>
      </w:r>
      <w:r>
        <w:rPr>
          <w:rFonts w:hint="eastAsia" w:ascii="宋体" w:hAnsi="宋体"/>
          <w:sz w:val="24"/>
        </w:rPr>
        <w:t>6 充电时间：低压＜7</w:t>
      </w:r>
      <w:r>
        <w:rPr>
          <w:rFonts w:ascii="宋体" w:hAnsi="宋体"/>
          <w:sz w:val="24"/>
        </w:rPr>
        <w:t>s</w:t>
      </w:r>
      <w:r>
        <w:rPr>
          <w:rFonts w:hint="eastAsia" w:ascii="宋体" w:hAnsi="宋体"/>
          <w:sz w:val="24"/>
        </w:rPr>
        <w:t>，高压＜</w:t>
      </w:r>
      <w:r>
        <w:rPr>
          <w:rFonts w:ascii="宋体" w:hAnsi="宋体"/>
          <w:sz w:val="24"/>
        </w:rPr>
        <w:t>4s</w:t>
      </w:r>
    </w:p>
    <w:p>
      <w:pPr>
        <w:rPr>
          <w:rFonts w:ascii="宋体" w:hAnsi="宋体"/>
          <w:sz w:val="24"/>
        </w:rPr>
      </w:pPr>
      <w:r>
        <w:rPr>
          <w:rFonts w:ascii="宋体" w:hAnsi="宋体"/>
          <w:sz w:val="24"/>
        </w:rPr>
        <w:t>9</w:t>
      </w:r>
      <w:r>
        <w:rPr>
          <w:rFonts w:hint="eastAsia" w:ascii="宋体" w:hAnsi="宋体"/>
          <w:sz w:val="24"/>
        </w:rPr>
        <w:t>. 安全性能：电弧猝灭功能，将电弧引起的损害降到最低；短路保护功能，避免仪器在短路时受到损害。</w:t>
      </w:r>
    </w:p>
    <w:p>
      <w:pPr>
        <w:rPr>
          <w:rFonts w:ascii="宋体" w:hAnsi="宋体"/>
          <w:sz w:val="24"/>
        </w:rPr>
      </w:pPr>
      <w:r>
        <w:rPr>
          <w:rFonts w:ascii="宋体" w:hAnsi="宋体"/>
          <w:sz w:val="24"/>
        </w:rPr>
        <w:t>10</w:t>
      </w:r>
      <w:r>
        <w:rPr>
          <w:rFonts w:hint="eastAsia" w:ascii="宋体" w:hAnsi="宋体"/>
          <w:sz w:val="24"/>
        </w:rPr>
        <w:t>. 操作控制：监控并显示实际实验参数，可进行电脑操控或远程操控，并可外接脚踏板开关。</w:t>
      </w:r>
    </w:p>
    <w:p>
      <w:pPr>
        <w:rPr>
          <w:rFonts w:ascii="宋体" w:hAnsi="宋体"/>
          <w:sz w:val="24"/>
        </w:rPr>
      </w:pPr>
      <w:r>
        <w:rPr>
          <w:rFonts w:ascii="宋体" w:hAnsi="宋体"/>
          <w:sz w:val="24"/>
        </w:rPr>
        <w:t>11</w:t>
      </w:r>
      <w:r>
        <w:rPr>
          <w:rFonts w:hint="eastAsia" w:ascii="宋体" w:hAnsi="宋体"/>
          <w:sz w:val="24"/>
        </w:rPr>
        <w:t>. 程序储存：可存储超过1</w:t>
      </w:r>
      <w:r>
        <w:rPr>
          <w:rFonts w:ascii="宋体" w:hAnsi="宋体"/>
          <w:sz w:val="24"/>
        </w:rPr>
        <w:t>000</w:t>
      </w:r>
      <w:r>
        <w:rPr>
          <w:rFonts w:hint="eastAsia" w:ascii="宋体" w:hAnsi="宋体"/>
          <w:sz w:val="24"/>
        </w:rPr>
        <w:t>个程序。</w:t>
      </w:r>
    </w:p>
    <w:p>
      <w:pPr>
        <w:pStyle w:val="41"/>
        <w:ind w:firstLine="0" w:firstLineChars="0"/>
        <w:jc w:val="left"/>
        <w:rPr>
          <w:rFonts w:ascii="宋体" w:hAnsi="宋体"/>
          <w:kern w:val="0"/>
          <w:sz w:val="24"/>
          <w:szCs w:val="24"/>
        </w:rPr>
      </w:pPr>
      <w:r>
        <w:rPr>
          <w:rFonts w:hint="eastAsia" w:ascii="宋体" w:hAnsi="宋体"/>
          <w:kern w:val="0"/>
          <w:sz w:val="24"/>
          <w:szCs w:val="24"/>
        </w:rPr>
        <w:t>1</w:t>
      </w:r>
      <w:r>
        <w:rPr>
          <w:rFonts w:ascii="宋体" w:hAnsi="宋体"/>
          <w:kern w:val="0"/>
          <w:sz w:val="24"/>
          <w:szCs w:val="24"/>
        </w:rPr>
        <w:t>2</w:t>
      </w:r>
      <w:r>
        <w:rPr>
          <w:rFonts w:hint="eastAsia" w:ascii="宋体" w:hAnsi="宋体"/>
          <w:kern w:val="0"/>
          <w:sz w:val="24"/>
          <w:szCs w:val="24"/>
        </w:rPr>
        <w:t>. 用户界面：7英寸高清液晶屏数字显示界面，方便参数优化和故障排除与记录。</w:t>
      </w:r>
    </w:p>
    <w:p>
      <w:pPr>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 输入电压：100-240V， 50</w:t>
      </w:r>
      <w:r>
        <w:rPr>
          <w:rFonts w:ascii="宋体" w:hAnsi="宋体"/>
          <w:sz w:val="24"/>
        </w:rPr>
        <w:t>/</w:t>
      </w:r>
      <w:r>
        <w:rPr>
          <w:rFonts w:hint="eastAsia" w:ascii="宋体" w:hAnsi="宋体"/>
          <w:sz w:val="24"/>
        </w:rPr>
        <w:t>60Hz</w:t>
      </w:r>
    </w:p>
    <w:p>
      <w:pPr>
        <w:rPr>
          <w:rFonts w:ascii="宋体" w:hAnsi="宋体"/>
          <w:sz w:val="24"/>
        </w:rPr>
      </w:pPr>
      <w:r>
        <w:rPr>
          <w:rFonts w:hint="eastAsia" w:ascii="宋体" w:hAnsi="宋体"/>
          <w:sz w:val="24"/>
        </w:rPr>
        <w:t>1</w:t>
      </w:r>
      <w:r>
        <w:rPr>
          <w:rFonts w:ascii="宋体" w:hAnsi="宋体"/>
          <w:sz w:val="24"/>
        </w:rPr>
        <w:t>4</w:t>
      </w:r>
      <w:r>
        <w:rPr>
          <w:rFonts w:hint="eastAsia" w:ascii="宋体" w:hAnsi="宋体"/>
          <w:sz w:val="24"/>
        </w:rPr>
        <w:t>. 工作温度：</w:t>
      </w:r>
      <w:r>
        <w:rPr>
          <w:rFonts w:ascii="宋体" w:hAnsi="宋体"/>
          <w:sz w:val="24"/>
        </w:rPr>
        <w:t>10</w:t>
      </w:r>
      <w:r>
        <w:rPr>
          <w:rFonts w:hint="eastAsia" w:ascii="宋体" w:hAnsi="宋体"/>
          <w:sz w:val="24"/>
        </w:rPr>
        <w:t>°</w:t>
      </w:r>
      <w:r>
        <w:rPr>
          <w:rFonts w:ascii="宋体" w:hAnsi="宋体"/>
          <w:sz w:val="24"/>
        </w:rPr>
        <w:t>C-40</w:t>
      </w:r>
      <w:r>
        <w:rPr>
          <w:rFonts w:hint="eastAsia" w:ascii="宋体" w:hAnsi="宋体"/>
          <w:sz w:val="24"/>
        </w:rPr>
        <w:t>°</w:t>
      </w:r>
      <w:r>
        <w:rPr>
          <w:rFonts w:ascii="宋体" w:hAnsi="宋体"/>
          <w:sz w:val="24"/>
        </w:rPr>
        <w:t>C</w:t>
      </w:r>
    </w:p>
    <w:p>
      <w:pPr>
        <w:rPr>
          <w:rFonts w:ascii="宋体" w:hAnsi="宋体"/>
          <w:sz w:val="24"/>
        </w:rPr>
      </w:pPr>
      <w:r>
        <w:rPr>
          <w:rFonts w:hint="eastAsia" w:ascii="宋体" w:hAnsi="宋体"/>
          <w:sz w:val="24"/>
        </w:rPr>
        <w:t>15. 机身重量：</w:t>
      </w:r>
      <w:r>
        <w:rPr>
          <w:rFonts w:ascii="宋体" w:hAnsi="宋体"/>
          <w:sz w:val="24"/>
        </w:rPr>
        <w:t>7.3</w:t>
      </w:r>
      <w:r>
        <w:rPr>
          <w:rFonts w:hint="eastAsia" w:ascii="宋体" w:hAnsi="宋体"/>
          <w:sz w:val="24"/>
        </w:rPr>
        <w:t xml:space="preserve"> Kg</w:t>
      </w:r>
    </w:p>
    <w:p>
      <w:pPr>
        <w:rPr>
          <w:rFonts w:ascii="宋体" w:hAnsi="宋体"/>
          <w:sz w:val="24"/>
        </w:rPr>
      </w:pPr>
      <w:r>
        <w:rPr>
          <w:rFonts w:hint="eastAsia" w:ascii="宋体" w:hAnsi="宋体"/>
          <w:sz w:val="24"/>
        </w:rPr>
        <w:t>1</w:t>
      </w:r>
      <w:r>
        <w:rPr>
          <w:rFonts w:ascii="宋体" w:hAnsi="宋体"/>
          <w:sz w:val="24"/>
        </w:rPr>
        <w:t>6.</w:t>
      </w:r>
      <w:r>
        <w:rPr>
          <w:rFonts w:hint="eastAsia" w:ascii="宋体" w:hAnsi="宋体"/>
          <w:sz w:val="24"/>
        </w:rPr>
        <w:t>设备配置：</w:t>
      </w:r>
    </w:p>
    <w:p>
      <w:pPr>
        <w:ind w:left="424" w:leftChars="202"/>
        <w:rPr>
          <w:rFonts w:ascii="宋体" w:hAnsi="宋体"/>
          <w:sz w:val="24"/>
        </w:rPr>
      </w:pPr>
      <w:r>
        <w:rPr>
          <w:rFonts w:hint="eastAsia" w:ascii="宋体" w:hAnsi="宋体"/>
          <w:sz w:val="24"/>
        </w:rPr>
        <w:t>BTX ECM 830电穿孔仪主机一台，电击操作池一个，BTX Cuvette Plus 专业电极杯1mm、2mm、4mm各十个，电极杯架一个，  3mm镊子电极。</w:t>
      </w:r>
    </w:p>
    <w:p>
      <w:pPr>
        <w:pStyle w:val="39"/>
        <w:spacing w:line="340" w:lineRule="exact"/>
        <w:ind w:left="720" w:firstLine="0" w:firstLineChars="0"/>
        <w:rPr>
          <w:rFonts w:cs="华文楷体" w:asciiTheme="minorEastAsia" w:hAnsiTheme="minorEastAsia" w:eastAsiaTheme="minorEastAsia"/>
          <w:b/>
          <w:sz w:val="24"/>
        </w:rPr>
      </w:pPr>
    </w:p>
    <w:p>
      <w:pPr>
        <w:tabs>
          <w:tab w:val="left" w:pos="720"/>
        </w:tabs>
        <w:spacing w:line="276" w:lineRule="auto"/>
        <w:outlineLvl w:val="0"/>
        <w:rPr>
          <w:rFonts w:ascii="宋体" w:hAnsi="宋体" w:cs="楷体"/>
          <w:b/>
          <w:bCs/>
          <w:sz w:val="24"/>
        </w:rPr>
      </w:pPr>
    </w:p>
    <w:p>
      <w:pPr>
        <w:spacing w:line="340" w:lineRule="exact"/>
        <w:rPr>
          <w:rFonts w:cs="华文楷体" w:asciiTheme="minorEastAsia" w:hAnsiTheme="minorEastAsia" w:eastAsiaTheme="minorEastAsia"/>
          <w:b/>
          <w:sz w:val="24"/>
        </w:rPr>
      </w:pPr>
      <w:r>
        <w:rPr>
          <w:rFonts w:hint="eastAsia" w:cs="华文楷体" w:asciiTheme="minorEastAsia" w:hAnsiTheme="minorEastAsia" w:eastAsiaTheme="minorEastAsia"/>
          <w:b/>
          <w:sz w:val="24"/>
        </w:rPr>
        <w:t>二、质保及其他要求：</w:t>
      </w:r>
    </w:p>
    <w:p>
      <w:pPr>
        <w:pStyle w:val="25"/>
        <w:numPr>
          <w:ilvl w:val="0"/>
          <w:numId w:val="0"/>
        </w:numPr>
        <w:spacing w:line="400" w:lineRule="exact"/>
        <w:ind w:firstLine="480" w:firstLineChars="200"/>
        <w:rPr>
          <w:rFonts w:cs="华文楷体"/>
          <w:color w:val="000000"/>
          <w:sz w:val="24"/>
          <w:szCs w:val="24"/>
        </w:rPr>
      </w:pPr>
      <w:r>
        <w:rPr>
          <w:rFonts w:cs="华文楷体"/>
          <w:color w:val="000000"/>
          <w:sz w:val="24"/>
          <w:szCs w:val="24"/>
        </w:rPr>
        <w:t>1.质保期：</w:t>
      </w:r>
      <w:r>
        <w:rPr>
          <w:rFonts w:cs="华文楷体"/>
          <w:b/>
          <w:color w:val="000000"/>
          <w:sz w:val="24"/>
          <w:szCs w:val="24"/>
        </w:rPr>
        <w:t>本项目要求质保期</w:t>
      </w:r>
      <w:r>
        <w:rPr>
          <w:rFonts w:hint="eastAsia" w:cs="华文楷体"/>
          <w:b/>
          <w:color w:val="000000"/>
          <w:sz w:val="24"/>
          <w:szCs w:val="24"/>
        </w:rPr>
        <w:t>不少于1年。</w:t>
      </w:r>
      <w:r>
        <w:rPr>
          <w:rFonts w:cs="华文楷体"/>
          <w:color w:val="000000"/>
          <w:sz w:val="24"/>
          <w:szCs w:val="24"/>
        </w:rPr>
        <w:t>质保期自设备安装及系统调试完毕、经采购单位验收合格之日算起。</w:t>
      </w:r>
    </w:p>
    <w:p>
      <w:pPr>
        <w:pStyle w:val="25"/>
        <w:numPr>
          <w:ilvl w:val="0"/>
          <w:numId w:val="0"/>
        </w:numPr>
        <w:spacing w:line="400" w:lineRule="exact"/>
        <w:ind w:firstLine="480" w:firstLineChars="200"/>
        <w:rPr>
          <w:rFonts w:cs="华文楷体"/>
          <w:color w:val="000000"/>
          <w:sz w:val="24"/>
          <w:szCs w:val="24"/>
        </w:rPr>
      </w:pPr>
      <w:r>
        <w:rPr>
          <w:rFonts w:hint="eastAsia" w:cs="华文楷体"/>
          <w:color w:val="000000"/>
          <w:sz w:val="24"/>
          <w:szCs w:val="24"/>
        </w:rPr>
        <w:t>2</w:t>
      </w:r>
      <w:r>
        <w:rPr>
          <w:rFonts w:cs="华文楷体"/>
          <w:color w:val="000000"/>
          <w:sz w:val="24"/>
          <w:szCs w:val="24"/>
        </w:rPr>
        <w:t>.中标单位须在中标后</w:t>
      </w:r>
      <w:r>
        <w:rPr>
          <w:rFonts w:hint="eastAsia" w:cs="华文楷体"/>
          <w:color w:val="000000"/>
          <w:sz w:val="24"/>
          <w:szCs w:val="24"/>
        </w:rPr>
        <w:t>规定时间</w:t>
      </w:r>
      <w:r>
        <w:rPr>
          <w:rFonts w:cs="华文楷体"/>
          <w:color w:val="000000"/>
          <w:sz w:val="24"/>
          <w:szCs w:val="24"/>
        </w:rPr>
        <w:t>内完成系统</w:t>
      </w:r>
      <w:r>
        <w:rPr>
          <w:rFonts w:hint="eastAsia" w:cs="华文楷体"/>
          <w:color w:val="000000"/>
          <w:sz w:val="24"/>
          <w:szCs w:val="24"/>
        </w:rPr>
        <w:t>的</w:t>
      </w:r>
      <w:r>
        <w:rPr>
          <w:rFonts w:cs="华文楷体"/>
          <w:color w:val="000000"/>
          <w:sz w:val="24"/>
          <w:szCs w:val="24"/>
        </w:rPr>
        <w:t>安装调试，并申请验收</w:t>
      </w:r>
      <w:r>
        <w:rPr>
          <w:rFonts w:hint="eastAsia" w:cs="华文楷体"/>
          <w:color w:val="000000"/>
          <w:sz w:val="24"/>
          <w:szCs w:val="24"/>
        </w:rPr>
        <w:t>，并</w:t>
      </w:r>
      <w:r>
        <w:rPr>
          <w:rFonts w:cs="华文楷体"/>
          <w:color w:val="000000"/>
          <w:sz w:val="24"/>
          <w:szCs w:val="24"/>
        </w:rPr>
        <w:t>提供必要的免费操作及维护培训。在验收前，货物保管、安全均由供应商负责。</w:t>
      </w:r>
    </w:p>
    <w:p>
      <w:pPr>
        <w:pStyle w:val="25"/>
        <w:numPr>
          <w:ilvl w:val="0"/>
          <w:numId w:val="0"/>
        </w:numPr>
        <w:spacing w:line="400" w:lineRule="exact"/>
        <w:ind w:left="1187" w:leftChars="228" w:hanging="708" w:hangingChars="295"/>
        <w:rPr>
          <w:rFonts w:cs="华文楷体"/>
          <w:color w:val="000000"/>
          <w:sz w:val="24"/>
          <w:szCs w:val="24"/>
        </w:rPr>
      </w:pPr>
      <w:r>
        <w:rPr>
          <w:rFonts w:hint="eastAsia" w:cs="华文楷体"/>
          <w:color w:val="000000"/>
          <w:sz w:val="24"/>
          <w:szCs w:val="24"/>
        </w:rPr>
        <w:t>3.</w:t>
      </w:r>
      <w:r>
        <w:rPr>
          <w:rFonts w:cs="华文楷体"/>
          <w:color w:val="000000"/>
          <w:sz w:val="24"/>
          <w:szCs w:val="24"/>
        </w:rPr>
        <w:t>提供的设备须为原装正品，相关的配套附件质量优良，数量齐全。</w:t>
      </w:r>
    </w:p>
    <w:p>
      <w:pPr>
        <w:spacing w:line="60" w:lineRule="auto"/>
        <w:ind w:firstLine="480" w:firstLineChars="200"/>
        <w:rPr>
          <w:rFonts w:cs="华文楷体"/>
          <w:color w:val="000000"/>
          <w:sz w:val="24"/>
        </w:rPr>
      </w:pPr>
      <w:r>
        <w:rPr>
          <w:rFonts w:hint="eastAsia" w:cs="华文楷体"/>
          <w:color w:val="000000"/>
          <w:sz w:val="24"/>
        </w:rPr>
        <w:t>4</w:t>
      </w:r>
      <w:r>
        <w:rPr>
          <w:rFonts w:cs="华文楷体"/>
          <w:color w:val="000000"/>
          <w:sz w:val="24"/>
        </w:rPr>
        <w:t>.采购方使用该</w:t>
      </w:r>
      <w:r>
        <w:rPr>
          <w:rFonts w:hint="eastAsia" w:cs="华文楷体"/>
          <w:color w:val="000000"/>
          <w:sz w:val="24"/>
        </w:rPr>
        <w:t>系统</w:t>
      </w:r>
      <w:r>
        <w:rPr>
          <w:rFonts w:cs="华文楷体"/>
          <w:color w:val="000000"/>
          <w:sz w:val="24"/>
        </w:rPr>
        <w:t>的任何一部分，当受第三方提出的侵犯其专利权、商标权</w:t>
      </w:r>
      <w:r>
        <w:rPr>
          <w:rFonts w:hint="eastAsia" w:cs="华文楷体"/>
          <w:color w:val="000000"/>
          <w:sz w:val="24"/>
        </w:rPr>
        <w:t>、著作权</w:t>
      </w:r>
      <w:r>
        <w:rPr>
          <w:rFonts w:cs="华文楷体"/>
          <w:color w:val="000000"/>
          <w:sz w:val="24"/>
        </w:rPr>
        <w:t>或工业设计权</w:t>
      </w:r>
      <w:r>
        <w:rPr>
          <w:rFonts w:hint="eastAsia" w:cs="华文楷体"/>
          <w:color w:val="000000"/>
          <w:sz w:val="24"/>
        </w:rPr>
        <w:t>等</w:t>
      </w:r>
      <w:r>
        <w:rPr>
          <w:rFonts w:cs="华文楷体"/>
          <w:color w:val="000000"/>
          <w:sz w:val="24"/>
        </w:rPr>
        <w:t>的投诉时，一切后果由供应商负责。</w:t>
      </w:r>
    </w:p>
    <w:p>
      <w:pPr>
        <w:spacing w:line="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b/>
          <w:sz w:val="24"/>
        </w:rPr>
        <w:t>本合同</w:t>
      </w:r>
      <w:r>
        <w:rPr>
          <w:rFonts w:hint="eastAsia" w:asciiTheme="minorEastAsia" w:hAnsiTheme="minorEastAsia" w:eastAsiaTheme="minorEastAsia"/>
          <w:b/>
          <w:sz w:val="24"/>
          <w:lang w:val="zh-CN"/>
        </w:rPr>
        <w:t>结算货币为人民币</w:t>
      </w:r>
      <w:r>
        <w:rPr>
          <w:rFonts w:hint="eastAsia" w:cs="宋体" w:asciiTheme="minorEastAsia" w:hAnsiTheme="minorEastAsia" w:eastAsiaTheme="minorEastAsia"/>
          <w:sz w:val="24"/>
          <w:lang w:val="zh-CN"/>
        </w:rPr>
        <w:t>，</w:t>
      </w:r>
      <w:r>
        <w:rPr>
          <w:rFonts w:asciiTheme="minorEastAsia" w:hAnsiTheme="minorEastAsia" w:eastAsiaTheme="minorEastAsia"/>
          <w:sz w:val="24"/>
        </w:rPr>
        <w:t>包括</w:t>
      </w:r>
      <w:r>
        <w:rPr>
          <w:rFonts w:hint="eastAsia" w:asciiTheme="minorEastAsia" w:hAnsiTheme="minorEastAsia" w:eastAsiaTheme="minorEastAsia"/>
          <w:sz w:val="24"/>
        </w:rPr>
        <w:t>全部货物、辅助材料、专利技术、安装、调试、人工、机械、运输、仓储、保险、运费、劳保，各种税费、外贸代理费（美元：根据货值大小约加（0.05－0.2）/美元，具体可与学校相关外贸代理商联系：江苏汉唐国际贸易集团有限公司，唐经理13776699038。江苏新海天国际贸易有限公司，联系人电话：陈经理</w:t>
      </w:r>
      <w:r>
        <w:rPr>
          <w:rFonts w:asciiTheme="minorEastAsia" w:hAnsiTheme="minorEastAsia" w:eastAsiaTheme="minorEastAsia"/>
          <w:sz w:val="24"/>
        </w:rPr>
        <w:t>15380875966</w:t>
      </w:r>
      <w:r>
        <w:rPr>
          <w:rFonts w:hint="eastAsia" w:asciiTheme="minorEastAsia" w:hAnsiTheme="minorEastAsia" w:eastAsiaTheme="minorEastAsia"/>
          <w:sz w:val="24"/>
        </w:rPr>
        <w:t>。江苏汇鸿国际集团外经有限公司，郭经理</w:t>
      </w:r>
      <w:r>
        <w:rPr>
          <w:rFonts w:asciiTheme="minorEastAsia" w:hAnsiTheme="minorEastAsia" w:eastAsiaTheme="minorEastAsia"/>
          <w:sz w:val="24"/>
        </w:rPr>
        <w:t>13809002757</w:t>
      </w:r>
      <w:r>
        <w:rPr>
          <w:rFonts w:hint="eastAsia" w:asciiTheme="minorEastAsia" w:hAnsiTheme="minorEastAsia" w:eastAsiaTheme="minorEastAsia"/>
          <w:sz w:val="24"/>
        </w:rPr>
        <w:t>。</w:t>
      </w:r>
      <w:r>
        <w:rPr>
          <w:rFonts w:hint="eastAsia" w:cs="宋体" w:asciiTheme="minorEastAsia" w:hAnsiTheme="minorEastAsia" w:eastAsiaTheme="minorEastAsia"/>
          <w:sz w:val="24"/>
          <w:lang w:val="zh-CN"/>
        </w:rPr>
        <w:t>（如为进口设备，含</w:t>
      </w:r>
      <w:r>
        <w:rPr>
          <w:rFonts w:hint="eastAsia" w:asciiTheme="minorEastAsia" w:hAnsiTheme="minorEastAsia" w:eastAsiaTheme="minorEastAsia"/>
          <w:sz w:val="24"/>
        </w:rPr>
        <w:t>外贸代理费、免税办理费、商检、法检费及质保期间等一切费用</w:t>
      </w:r>
      <w:r>
        <w:rPr>
          <w:rFonts w:hint="eastAsia" w:cs="宋体" w:asciiTheme="minorEastAsia" w:hAnsiTheme="minorEastAsia" w:eastAsiaTheme="minorEastAsia"/>
          <w:sz w:val="24"/>
          <w:lang w:val="zh-CN"/>
        </w:rPr>
        <w:t>。</w:t>
      </w:r>
      <w:r>
        <w:rPr>
          <w:rFonts w:hint="eastAsia" w:asciiTheme="minorEastAsia" w:hAnsiTheme="minorEastAsia" w:eastAsiaTheme="minorEastAsia"/>
          <w:sz w:val="24"/>
        </w:rPr>
        <w:t>若非进口设备，供方必须提供增值税专用发票（含报销联和抵扣联））。</w:t>
      </w:r>
    </w:p>
    <w:p>
      <w:pPr>
        <w:spacing w:line="60" w:lineRule="auto"/>
        <w:ind w:firstLine="480" w:firstLineChars="200"/>
        <w:rPr>
          <w:rFonts w:ascii="宋体" w:hAnsi="宋体" w:cs="华文楷体"/>
          <w:color w:val="000000"/>
          <w:kern w:val="0"/>
          <w:sz w:val="24"/>
        </w:rPr>
      </w:pPr>
      <w:r>
        <w:rPr>
          <w:rFonts w:hint="eastAsia" w:ascii="宋体" w:hAnsi="宋体" w:cs="华文楷体"/>
          <w:color w:val="000000"/>
          <w:kern w:val="0"/>
          <w:sz w:val="24"/>
        </w:rPr>
        <w:t>6</w:t>
      </w:r>
      <w:r>
        <w:rPr>
          <w:rFonts w:ascii="宋体" w:hAnsi="宋体" w:cs="华文楷体"/>
          <w:color w:val="000000"/>
          <w:kern w:val="0"/>
          <w:sz w:val="24"/>
        </w:rPr>
        <w:t>.</w:t>
      </w:r>
      <w:r>
        <w:rPr>
          <w:rFonts w:hint="eastAsia" w:ascii="宋体" w:hAnsi="宋体" w:cs="华文楷体"/>
          <w:color w:val="000000"/>
          <w:kern w:val="0"/>
          <w:sz w:val="24"/>
        </w:rPr>
        <w:t>对于进口设备外贸手续的办理：建议供方在校方提供的外贸公司中选择，由供方负责办理相关免税手续，需方配合供方完成办理免表必须的材料盖章事宜。</w:t>
      </w:r>
    </w:p>
    <w:p>
      <w:pPr>
        <w:spacing w:line="60" w:lineRule="auto"/>
        <w:ind w:firstLine="480" w:firstLineChars="200"/>
        <w:rPr>
          <w:rFonts w:ascii="宋体" w:hAnsi="宋体" w:cs="华文楷体"/>
          <w:color w:val="000000"/>
          <w:kern w:val="0"/>
          <w:sz w:val="24"/>
        </w:rPr>
      </w:pPr>
      <w:r>
        <w:rPr>
          <w:rFonts w:hint="eastAsia" w:ascii="宋体" w:hAnsi="宋体" w:cs="华文楷体"/>
          <w:color w:val="000000"/>
          <w:kern w:val="0"/>
          <w:sz w:val="24"/>
        </w:rPr>
        <w:t>7</w:t>
      </w:r>
      <w:r>
        <w:rPr>
          <w:rFonts w:ascii="宋体" w:hAnsi="宋体" w:cs="华文楷体"/>
          <w:color w:val="000000"/>
          <w:kern w:val="0"/>
          <w:sz w:val="24"/>
        </w:rPr>
        <w:t>.</w:t>
      </w:r>
      <w:r>
        <w:rPr>
          <w:rFonts w:hint="eastAsia" w:ascii="宋体" w:hAnsi="宋体" w:cs="华文楷体"/>
          <w:color w:val="000000"/>
          <w:kern w:val="0"/>
          <w:sz w:val="24"/>
        </w:rPr>
        <w:t>若按国家规定必须办理商检、法检或其他手续的进口设备，由供方负责办理相关手续及承担所需费用（由需方配合相应盖章事宜）。</w:t>
      </w:r>
    </w:p>
    <w:p>
      <w:pPr>
        <w:widowControl/>
        <w:jc w:val="left"/>
        <w:rPr>
          <w:rFonts w:ascii="宋体" w:hAnsi="宋体" w:cs="华文楷体"/>
          <w:color w:val="000000"/>
          <w:kern w:val="0"/>
          <w:sz w:val="24"/>
        </w:rPr>
      </w:pPr>
      <w:r>
        <w:rPr>
          <w:rFonts w:ascii="宋体" w:hAnsi="宋体" w:cs="华文楷体"/>
          <w:color w:val="000000"/>
          <w:kern w:val="0"/>
          <w:sz w:val="24"/>
        </w:rPr>
        <w:br w:type="page"/>
      </w:r>
    </w:p>
    <w:p>
      <w:pPr>
        <w:spacing w:line="340" w:lineRule="exact"/>
        <w:jc w:val="center"/>
        <w:rPr>
          <w:rFonts w:cs="华文楷体" w:asciiTheme="minorEastAsia" w:hAnsiTheme="minorEastAsia" w:eastAsiaTheme="minorEastAsia"/>
          <w:b/>
          <w:bCs/>
          <w:color w:val="000000" w:themeColor="text1"/>
          <w:kern w:val="0"/>
          <w:sz w:val="28"/>
          <w:szCs w:val="20"/>
        </w:rPr>
      </w:pPr>
      <w:r>
        <w:rPr>
          <w:rFonts w:hint="eastAsia" w:cs="华文楷体" w:asciiTheme="minorEastAsia" w:hAnsiTheme="minorEastAsia" w:eastAsiaTheme="minorEastAsia"/>
          <w:b/>
          <w:bCs/>
          <w:color w:val="000000" w:themeColor="text1"/>
          <w:kern w:val="0"/>
          <w:sz w:val="28"/>
          <w:szCs w:val="20"/>
        </w:rPr>
        <w:t>第三章    投标文件格式</w:t>
      </w:r>
    </w:p>
    <w:p>
      <w:pPr>
        <w:pStyle w:val="27"/>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一、投标人提交文件须知</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1.混乱的编排以致投标文件被误读或采购人查找不到有效文件，后果由投标人承担。</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2.所附表格中要求回答的全部问题和信息都必须正面回答。</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3.采购人将依据投标人提交的资料并根据自己的判断，决定投标人履行合同合格性及能力。投标人提交的材料将被保密保存，但不退还。</w:t>
      </w:r>
    </w:p>
    <w:p>
      <w:pPr>
        <w:pStyle w:val="25"/>
        <w:numPr>
          <w:ilvl w:val="0"/>
          <w:numId w:val="0"/>
        </w:numPr>
        <w:spacing w:line="400" w:lineRule="exact"/>
        <w:ind w:left="708" w:hanging="708" w:hangingChars="295"/>
        <w:rPr>
          <w:rFonts w:cs="华文楷体" w:asciiTheme="minorEastAsia" w:hAnsiTheme="minorEastAsia" w:eastAsiaTheme="minorEastAsia"/>
          <w:color w:val="000000" w:themeColor="text1"/>
          <w:sz w:val="24"/>
          <w:szCs w:val="24"/>
        </w:rPr>
      </w:pPr>
    </w:p>
    <w:p>
      <w:pPr>
        <w:pStyle w:val="27"/>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二、投标文件格式如下：</w:t>
      </w:r>
    </w:p>
    <w:p>
      <w:pPr>
        <w:pStyle w:val="27"/>
        <w:spacing w:before="0" w:line="400" w:lineRule="exact"/>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szCs w:val="24"/>
        </w:rPr>
        <w:t>(一)投标函</w:t>
      </w:r>
    </w:p>
    <w:p>
      <w:pPr>
        <w:pStyle w:val="30"/>
        <w:adjustRightInd/>
        <w:spacing w:line="340" w:lineRule="exact"/>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u w:val="single"/>
        </w:rPr>
        <w:t>江苏师范大学</w:t>
      </w:r>
      <w:r>
        <w:rPr>
          <w:rFonts w:hint="eastAsia" w:cs="华文楷体" w:asciiTheme="minorEastAsia" w:hAnsiTheme="minorEastAsia" w:eastAsiaTheme="minorEastAsia"/>
          <w:color w:val="000000" w:themeColor="text1"/>
          <w:kern w:val="2"/>
          <w:sz w:val="24"/>
          <w:szCs w:val="24"/>
        </w:rPr>
        <w:t>：</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ascii="宋体" w:hAnsi="宋体"/>
          <w:sz w:val="24"/>
          <w:u w:val="single"/>
        </w:rPr>
        <w:t xml:space="preserve">        投标人全称        </w:t>
      </w:r>
      <w:r>
        <w:rPr>
          <w:rFonts w:hint="eastAsia" w:cs="华文楷体" w:asciiTheme="minorEastAsia" w:hAnsiTheme="minorEastAsia" w:eastAsiaTheme="minorEastAsia"/>
          <w:color w:val="000000" w:themeColor="text1"/>
          <w:sz w:val="24"/>
        </w:rPr>
        <w:t>授权</w:t>
      </w:r>
      <w:r>
        <w:rPr>
          <w:rFonts w:hint="eastAsia" w:ascii="宋体" w:hAnsi="宋体"/>
          <w:sz w:val="24"/>
          <w:u w:val="single"/>
        </w:rPr>
        <w:t xml:space="preserve">     投标人代表姓名 (职务、职称)   </w:t>
      </w:r>
      <w:r>
        <w:rPr>
          <w:rFonts w:hint="eastAsia" w:cs="华文楷体" w:asciiTheme="minorEastAsia" w:hAnsiTheme="minorEastAsia" w:eastAsiaTheme="minorEastAsia"/>
          <w:color w:val="000000" w:themeColor="text1"/>
          <w:sz w:val="24"/>
        </w:rPr>
        <w:t>为我方代表，参加贵方组织的</w:t>
      </w:r>
      <w:r>
        <w:rPr>
          <w:rFonts w:hint="eastAsia" w:ascii="宋体" w:hAnsi="宋体"/>
          <w:sz w:val="24"/>
          <w:u w:val="single"/>
        </w:rPr>
        <w:t xml:space="preserve">     项目名称与项目编号     </w:t>
      </w:r>
      <w:r>
        <w:rPr>
          <w:rFonts w:hint="eastAsia" w:cs="华文楷体" w:asciiTheme="minorEastAsia" w:hAnsiTheme="minorEastAsia" w:eastAsiaTheme="minorEastAsia"/>
          <w:color w:val="000000" w:themeColor="text1"/>
          <w:sz w:val="24"/>
        </w:rPr>
        <w:t>招标的有关活动，并对此项目进行投标，投标总价为</w:t>
      </w:r>
      <w:r>
        <w:rPr>
          <w:rFonts w:hint="eastAsia" w:ascii="宋体" w:hAnsi="宋体"/>
          <w:sz w:val="24"/>
          <w:u w:val="single"/>
        </w:rPr>
        <w:t>（大写）         元（小写：       元）</w:t>
      </w:r>
      <w:r>
        <w:rPr>
          <w:rFonts w:hint="eastAsia" w:cs="华文楷体" w:asciiTheme="minorEastAsia" w:hAnsiTheme="minorEastAsia" w:eastAsiaTheme="minorEastAsia"/>
          <w:color w:val="000000" w:themeColor="text1"/>
          <w:sz w:val="24"/>
        </w:rPr>
        <w:t>，供货安装期为：天，质保期为：年。为此：</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1.我方同意在本项目采购文件中规定的投标日起</w:t>
      </w:r>
      <w:r>
        <w:rPr>
          <w:rFonts w:hint="eastAsia" w:cs="华文楷体" w:asciiTheme="minorEastAsia" w:hAnsiTheme="minorEastAsia" w:eastAsiaTheme="minorEastAsia"/>
          <w:color w:val="000000" w:themeColor="text1"/>
          <w:sz w:val="24"/>
          <w:szCs w:val="24"/>
          <w:u w:val="single"/>
        </w:rPr>
        <w:t>90日内</w:t>
      </w:r>
      <w:r>
        <w:rPr>
          <w:rFonts w:hint="eastAsia" w:cs="华文楷体" w:asciiTheme="minorEastAsia" w:hAnsiTheme="minorEastAsia" w:eastAsiaTheme="minorEastAsia"/>
          <w:color w:val="000000" w:themeColor="text1"/>
          <w:sz w:val="24"/>
          <w:szCs w:val="24"/>
        </w:rPr>
        <w:t>遵守本文中的承诺且在此期限期满之前均具有约束力。</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2.我方承诺已经具备《中华人民共和国政府采购法》中规定的参加政府采购活动的供应商应当具备及本项目规定的资格条件。</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3.提供投标须知规定的全部投标文件，包括投标文件</w:t>
      </w:r>
      <w:r>
        <w:rPr>
          <w:rFonts w:hint="eastAsia" w:cs="华文楷体" w:asciiTheme="minorEastAsia" w:hAnsiTheme="minorEastAsia" w:eastAsiaTheme="minorEastAsia"/>
          <w:b/>
          <w:color w:val="000000" w:themeColor="text1"/>
          <w:sz w:val="24"/>
          <w:szCs w:val="24"/>
        </w:rPr>
        <w:t>正本1份，副本</w:t>
      </w:r>
      <w:r>
        <w:rPr>
          <w:rFonts w:cs="华文楷体" w:asciiTheme="minorEastAsia" w:hAnsiTheme="minorEastAsia" w:eastAsiaTheme="minorEastAsia"/>
          <w:b/>
          <w:color w:val="000000" w:themeColor="text1"/>
          <w:sz w:val="24"/>
          <w:szCs w:val="24"/>
        </w:rPr>
        <w:t>5</w:t>
      </w:r>
      <w:r>
        <w:rPr>
          <w:rFonts w:hint="eastAsia" w:cs="华文楷体" w:asciiTheme="minorEastAsia" w:hAnsiTheme="minorEastAsia" w:eastAsiaTheme="minorEastAsia"/>
          <w:b/>
          <w:color w:val="000000" w:themeColor="text1"/>
          <w:sz w:val="24"/>
          <w:szCs w:val="24"/>
        </w:rPr>
        <w:t>份。</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4.按采购文件要求提供和交付的货物和服务的投标详见报价明细表及服务方案。</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5.保证忠实执行双方签订的合同，并承担合同规定的责任和义务。</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6.保证遵守采购文件的各项规定。</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7.如果在规定的投标有效期内撤回投标，我方同意将被列入不良记录名单。</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8.我方完全理解贵方不一定接受最低价的投标或收到的任何投标。</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9.我方愿意向贵方提供任何与本项投标有关的数据、情况和技术资料。如果贵方需要，我方愿意提供我方做出的一切承诺的证明材料。</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9.我方已详细审核全部投标文件，包括投标文件修改书（如果有的话）、参考资料及有关附件，确认无误。</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10.我方承诺：采购人如果需追加采购本项目采购文件所列货物及相关服务的，在不改变合同其他实质性条款的前提下，按相同或更优惠的折扣保证供货。</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11.我方承诺接受采购文件中《成交合同》的全部条款且无任何异议。</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4"/>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提供虚假材料谋取成交的；</w:t>
      </w:r>
    </w:p>
    <w:p>
      <w:pPr>
        <w:numPr>
          <w:ilvl w:val="0"/>
          <w:numId w:val="4"/>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采取不正当手段诋毁、排挤其他供应商的；</w:t>
      </w:r>
    </w:p>
    <w:p>
      <w:pPr>
        <w:numPr>
          <w:ilvl w:val="0"/>
          <w:numId w:val="4"/>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与采购人、其它供应商或者采购人工作人员恶意串通的；</w:t>
      </w:r>
    </w:p>
    <w:p>
      <w:pPr>
        <w:numPr>
          <w:ilvl w:val="0"/>
          <w:numId w:val="4"/>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向采购人、采购人工作人员行贿或者提供其他不正当利益的；</w:t>
      </w:r>
    </w:p>
    <w:p>
      <w:pPr>
        <w:numPr>
          <w:ilvl w:val="0"/>
          <w:numId w:val="4"/>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未经采购人同意，在采购过程中与采购人进行协商招标的；</w:t>
      </w:r>
    </w:p>
    <w:p>
      <w:pPr>
        <w:numPr>
          <w:ilvl w:val="0"/>
          <w:numId w:val="4"/>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拒绝有关部门监督检查或提供虚假情况的；</w:t>
      </w:r>
    </w:p>
    <w:p>
      <w:pPr>
        <w:numPr>
          <w:ilvl w:val="0"/>
          <w:numId w:val="4"/>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拒绝质量技术监督部门对投标样品或成交货物作质量检验的。</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与本投标有关的一切往来通讯请寄：</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地址：</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邮编：</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电话：_</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传真：</w:t>
      </w:r>
    </w:p>
    <w:p>
      <w:pPr>
        <w:tabs>
          <w:tab w:val="left" w:pos="480"/>
        </w:tabs>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投标人代表姓名：</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投标人代表联系电话：</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投标人代表E-Mail：</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320" w:firstLineChars="18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bookmarkStart w:id="0" w:name="_Toc20642290"/>
      <w:bookmarkStart w:id="1" w:name="_Toc20988289"/>
      <w:bookmarkStart w:id="2" w:name="_Toc36287943"/>
      <w:bookmarkStart w:id="3" w:name="_Toc20816120"/>
      <w:bookmarkStart w:id="4" w:name="_Toc21000519"/>
      <w:bookmarkStart w:id="5" w:name="_Toc21001363"/>
    </w:p>
    <w:p>
      <w:pPr>
        <w:pStyle w:val="24"/>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rPr>
      </w:pPr>
    </w:p>
    <w:p>
      <w:pPr>
        <w:pStyle w:val="24"/>
        <w:spacing w:before="0" w:after="0" w:line="340" w:lineRule="exact"/>
        <w:jc w:val="both"/>
        <w:outlineLvl w:val="9"/>
        <w:rPr>
          <w:rFonts w:cs="华文楷体" w:asciiTheme="majorEastAsia" w:hAnsiTheme="majorEastAsia" w:eastAsiaTheme="majorEastAsia"/>
          <w:color w:val="000000" w:themeColor="text1"/>
          <w:sz w:val="24"/>
          <w:szCs w:val="24"/>
        </w:rPr>
      </w:pPr>
      <w:r>
        <w:rPr>
          <w:rFonts w:hint="eastAsia" w:cs="华文楷体" w:asciiTheme="majorEastAsia" w:hAnsiTheme="majorEastAsia" w:eastAsiaTheme="majorEastAsia"/>
          <w:color w:val="000000" w:themeColor="text1"/>
          <w:sz w:val="24"/>
          <w:szCs w:val="24"/>
        </w:rPr>
        <w:t>(二)法定代表人授权委托书</w:t>
      </w:r>
      <w:bookmarkEnd w:id="0"/>
      <w:bookmarkEnd w:id="1"/>
      <w:bookmarkEnd w:id="2"/>
      <w:bookmarkEnd w:id="3"/>
      <w:bookmarkEnd w:id="4"/>
      <w:bookmarkEnd w:id="5"/>
    </w:p>
    <w:p>
      <w:pPr>
        <w:spacing w:line="340" w:lineRule="exact"/>
        <w:rPr>
          <w:rFonts w:asciiTheme="majorEastAsia" w:hAnsiTheme="majorEastAsia" w:eastAsiaTheme="majorEastAsia"/>
          <w:sz w:val="24"/>
        </w:rPr>
      </w:pPr>
      <w:r>
        <w:rPr>
          <w:rFonts w:hint="eastAsia" w:asciiTheme="majorEastAsia" w:hAnsiTheme="majorEastAsia" w:eastAsiaTheme="majorEastAsia"/>
          <w:sz w:val="24"/>
          <w:u w:val="single"/>
        </w:rPr>
        <w:t>江苏师范大学</w:t>
      </w:r>
      <w:r>
        <w:rPr>
          <w:rFonts w:hint="eastAsia" w:asciiTheme="majorEastAsia" w:hAnsiTheme="majorEastAsia" w:eastAsiaTheme="majorEastAsia"/>
          <w:sz w:val="24"/>
        </w:rPr>
        <w:t>：</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本授权书声明：注册于</w:t>
      </w:r>
      <w:r>
        <w:rPr>
          <w:rFonts w:hint="eastAsia" w:asciiTheme="majorEastAsia" w:hAnsiTheme="majorEastAsia" w:eastAsiaTheme="majorEastAsia"/>
          <w:sz w:val="24"/>
          <w:u w:val="single"/>
        </w:rPr>
        <w:t>（投标人住址）</w:t>
      </w:r>
      <w:r>
        <w:rPr>
          <w:rFonts w:hint="eastAsia" w:asciiTheme="majorEastAsia" w:hAnsiTheme="majorEastAsia" w:eastAsiaTheme="majorEastAsia"/>
          <w:sz w:val="24"/>
        </w:rPr>
        <w:t>的</w:t>
      </w:r>
      <w:r>
        <w:rPr>
          <w:rFonts w:hint="eastAsia" w:asciiTheme="majorEastAsia" w:hAnsiTheme="majorEastAsia" w:eastAsiaTheme="majorEastAsia"/>
          <w:sz w:val="24"/>
          <w:u w:val="single"/>
        </w:rPr>
        <w:t>（投标人名称）</w:t>
      </w:r>
      <w:r>
        <w:rPr>
          <w:rFonts w:hint="eastAsia" w:asciiTheme="majorEastAsia" w:hAnsiTheme="majorEastAsia" w:eastAsiaTheme="majorEastAsia"/>
          <w:sz w:val="24"/>
        </w:rPr>
        <w:t>法定代表人</w:t>
      </w:r>
      <w:r>
        <w:rPr>
          <w:rFonts w:hint="eastAsia" w:asciiTheme="majorEastAsia" w:hAnsiTheme="majorEastAsia" w:eastAsiaTheme="majorEastAsia"/>
          <w:sz w:val="24"/>
          <w:u w:val="single"/>
        </w:rPr>
        <w:t>（法定代表人姓名、职务）</w:t>
      </w:r>
      <w:r>
        <w:rPr>
          <w:rFonts w:hint="eastAsia" w:asciiTheme="majorEastAsia" w:hAnsiTheme="majorEastAsia" w:eastAsiaTheme="majorEastAsia"/>
          <w:sz w:val="24"/>
        </w:rPr>
        <w:t>代表本公司授权在下面签字的</w:t>
      </w:r>
      <w:r>
        <w:rPr>
          <w:rFonts w:hint="eastAsia" w:asciiTheme="majorEastAsia" w:hAnsiTheme="majorEastAsia" w:eastAsiaTheme="majorEastAsia"/>
          <w:sz w:val="24"/>
          <w:u w:val="single"/>
        </w:rPr>
        <w:t>（投标人代表姓名、职务）</w:t>
      </w:r>
      <w:r>
        <w:rPr>
          <w:rFonts w:hint="eastAsia" w:asciiTheme="majorEastAsia" w:hAnsiTheme="majorEastAsia" w:eastAsiaTheme="majorEastAsia"/>
          <w:sz w:val="24"/>
        </w:rPr>
        <w:t>为本公司的合法代理人，就贵方组织的项目</w:t>
      </w:r>
      <w:r>
        <w:rPr>
          <w:rFonts w:hint="eastAsia" w:asciiTheme="majorEastAsia" w:hAnsiTheme="majorEastAsia" w:eastAsiaTheme="majorEastAsia"/>
          <w:sz w:val="24"/>
          <w:u w:val="single"/>
        </w:rPr>
        <w:t>（项目名称）</w:t>
      </w:r>
      <w:r>
        <w:rPr>
          <w:rFonts w:hint="eastAsia" w:asciiTheme="majorEastAsia" w:hAnsiTheme="majorEastAsia" w:eastAsiaTheme="majorEastAsia"/>
          <w:sz w:val="24"/>
        </w:rPr>
        <w:t>（项目编号：），以本公司名义处理一切与之有关的事务。</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本授权书于    年  月  日签字生效，特此声明。</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法定代表人印刷体姓名、签字或盖章：</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投标人代表印刷体姓名、签字或盖章：</w:t>
      </w:r>
    </w:p>
    <w:p>
      <w:pPr>
        <w:spacing w:line="340" w:lineRule="exact"/>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投标人全称、投标人公章：</w:t>
      </w:r>
      <w:r>
        <w:rPr>
          <w:rFonts w:hint="eastAsia" w:asciiTheme="majorEastAsia" w:hAnsiTheme="majorEastAsia" w:eastAsiaTheme="majorEastAsia"/>
          <w:sz w:val="24"/>
        </w:rPr>
        <w:tab/>
      </w:r>
      <w:r>
        <w:rPr>
          <w:rFonts w:hint="eastAsia" w:asciiTheme="majorEastAsia" w:hAnsiTheme="majorEastAsia" w:eastAsiaTheme="majorEastAsia"/>
          <w:sz w:val="24"/>
        </w:rPr>
        <w:tab/>
      </w:r>
    </w:p>
    <w:p>
      <w:pPr>
        <w:spacing w:line="380" w:lineRule="exact"/>
        <w:rPr>
          <w:rFonts w:asciiTheme="majorEastAsia" w:hAnsiTheme="majorEastAsia" w:eastAsiaTheme="majorEastAsia"/>
          <w:sz w:val="24"/>
        </w:rPr>
      </w:pPr>
      <w:r>
        <w:rPr>
          <w:rFonts w:hint="eastAsia" w:asciiTheme="majorEastAsia" w:hAnsiTheme="majorEastAsia" w:eastAsiaTheme="majorEastAsia"/>
          <w:sz w:val="24"/>
        </w:rPr>
        <w:t xml:space="preserve">    日期：</w:t>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 xml:space="preserve">    年    月    日</w:t>
      </w:r>
    </w:p>
    <w:p>
      <w:pPr>
        <w:spacing w:line="340" w:lineRule="exact"/>
        <w:rPr>
          <w:rFonts w:cs="华文楷体" w:asciiTheme="minorEastAsia" w:hAnsiTheme="minorEastAsia" w:eastAsiaTheme="minorEastAsia"/>
          <w:color w:val="000000" w:themeColor="text1"/>
        </w:rPr>
      </w:pPr>
      <w:r>
        <w:rPr>
          <w:rFonts w:cs="华文楷体" w:asciiTheme="minorEastAsia" w:hAnsiTheme="minorEastAsia" w:eastAsiaTheme="minorEastAsia"/>
          <w:color w:val="000000" w:themeColor="text1"/>
          <w:sz w:val="28"/>
          <w:szCs w:val="28"/>
        </w:rPr>
        <w:pict>
          <v:shape id="文本框 1" o:spid="_x0000_s1026" o:spt="202" type="#_x0000_t202" style="position:absolute;left:0pt;margin-left:35.85pt;margin-top:14.9pt;height:78pt;width:376.15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v:textbox>
            <w10:wrap type="square"/>
          </v:shape>
        </w:pict>
      </w:r>
      <w:bookmarkStart w:id="6" w:name="_Toc86202638"/>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color w:val="000000" w:themeColor="text1"/>
          <w:sz w:val="28"/>
          <w:szCs w:val="28"/>
        </w:rPr>
        <w:pict>
          <v:shape id="文本框 2" o:spid="_x0000_s1027" o:spt="202" type="#_x0000_t202" style="position:absolute;left:0pt;margin-left:36.75pt;margin-top:24.75pt;height:78pt;width:376.15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v:textbox>
            <w10:wrap type="square"/>
          </v:shape>
        </w:pict>
      </w:r>
      <w:r>
        <w:rPr>
          <w:rFonts w:cs="华文楷体" w:asciiTheme="minorEastAsia" w:hAnsiTheme="minorEastAsia" w:eastAsiaTheme="minorEastAsia"/>
          <w:b/>
          <w:color w:val="000000" w:themeColor="text1"/>
          <w:sz w:val="24"/>
        </w:rPr>
        <w:br w:type="page"/>
      </w:r>
    </w:p>
    <w:p>
      <w:pPr>
        <w:spacing w:line="40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（三）投标报价一览表</w:t>
      </w:r>
    </w:p>
    <w:tbl>
      <w:tblPr>
        <w:tblStyle w:val="15"/>
        <w:tblW w:w="5000" w:type="pct"/>
        <w:tblInd w:w="0" w:type="dxa"/>
        <w:tblLayout w:type="autofit"/>
        <w:tblCellMar>
          <w:top w:w="0" w:type="dxa"/>
          <w:left w:w="108" w:type="dxa"/>
          <w:bottom w:w="0" w:type="dxa"/>
          <w:right w:w="108" w:type="dxa"/>
        </w:tblCellMar>
      </w:tblPr>
      <w:tblGrid>
        <w:gridCol w:w="622"/>
        <w:gridCol w:w="976"/>
        <w:gridCol w:w="1530"/>
        <w:gridCol w:w="885"/>
        <w:gridCol w:w="879"/>
        <w:gridCol w:w="976"/>
        <w:gridCol w:w="1753"/>
        <w:gridCol w:w="1915"/>
      </w:tblGrid>
      <w:tr>
        <w:tblPrEx>
          <w:tblCellMar>
            <w:top w:w="0" w:type="dxa"/>
            <w:left w:w="108" w:type="dxa"/>
            <w:bottom w:w="0" w:type="dxa"/>
            <w:right w:w="108" w:type="dxa"/>
          </w:tblCellMar>
        </w:tblPrEx>
        <w:trPr>
          <w:trHeight w:val="455" w:hRule="atLeast"/>
        </w:trPr>
        <w:tc>
          <w:tcPr>
            <w:tcW w:w="326"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序号</w:t>
            </w:r>
          </w:p>
        </w:tc>
        <w:tc>
          <w:tcPr>
            <w:tcW w:w="1778" w:type="pct"/>
            <w:gridSpan w:val="3"/>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名称</w:t>
            </w:r>
          </w:p>
        </w:tc>
        <w:tc>
          <w:tcPr>
            <w:tcW w:w="461"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数量</w:t>
            </w:r>
          </w:p>
        </w:tc>
        <w:tc>
          <w:tcPr>
            <w:tcW w:w="512"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单位</w:t>
            </w:r>
          </w:p>
        </w:tc>
        <w:tc>
          <w:tcPr>
            <w:tcW w:w="919"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单价（元）</w:t>
            </w:r>
          </w:p>
        </w:tc>
        <w:tc>
          <w:tcPr>
            <w:tcW w:w="1004"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总价（元）</w:t>
            </w:r>
          </w:p>
        </w:tc>
      </w:tr>
      <w:tr>
        <w:tblPrEx>
          <w:tblCellMar>
            <w:top w:w="0" w:type="dxa"/>
            <w:left w:w="108" w:type="dxa"/>
            <w:bottom w:w="0" w:type="dxa"/>
            <w:right w:w="108" w:type="dxa"/>
          </w:tblCellMar>
        </w:tblPrEx>
        <w:trPr>
          <w:trHeight w:val="90" w:hRule="atLeast"/>
        </w:trPr>
        <w:tc>
          <w:tcPr>
            <w:tcW w:w="3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1778" w:type="pct"/>
            <w:gridSpan w:val="3"/>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461"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512"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919"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1004"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3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1778" w:type="pct"/>
            <w:gridSpan w:val="3"/>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461"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512"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919"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1004"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3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1778" w:type="pct"/>
            <w:gridSpan w:val="3"/>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461"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512"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919"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1004"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41" w:hRule="atLeast"/>
        </w:trPr>
        <w:tc>
          <w:tcPr>
            <w:tcW w:w="838" w:type="pct"/>
            <w:gridSpan w:val="2"/>
            <w:tcBorders>
              <w:top w:val="nil"/>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质保期（年）</w:t>
            </w:r>
          </w:p>
        </w:tc>
        <w:tc>
          <w:tcPr>
            <w:tcW w:w="4162" w:type="pct"/>
            <w:gridSpan w:val="6"/>
            <w:tcBorders>
              <w:top w:val="nil"/>
              <w:left w:val="single" w:color="auto" w:sz="4" w:space="0"/>
              <w:bottom w:val="single" w:color="auto" w:sz="4" w:space="0"/>
              <w:right w:val="single" w:color="auto" w:sz="4" w:space="0"/>
            </w:tcBorders>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p>
        </w:tc>
      </w:tr>
      <w:tr>
        <w:tblPrEx>
          <w:tblCellMar>
            <w:top w:w="0" w:type="dxa"/>
            <w:left w:w="108" w:type="dxa"/>
            <w:bottom w:w="0" w:type="dxa"/>
            <w:right w:w="108" w:type="dxa"/>
          </w:tblCellMar>
        </w:tblPrEx>
        <w:trPr>
          <w:trHeight w:val="941" w:hRule="atLeast"/>
        </w:trPr>
        <w:tc>
          <w:tcPr>
            <w:tcW w:w="838" w:type="pct"/>
            <w:gridSpan w:val="2"/>
            <w:tcBorders>
              <w:top w:val="nil"/>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供货期（天）</w:t>
            </w:r>
          </w:p>
        </w:tc>
        <w:tc>
          <w:tcPr>
            <w:tcW w:w="4162" w:type="pct"/>
            <w:gridSpan w:val="6"/>
            <w:tcBorders>
              <w:top w:val="nil"/>
              <w:left w:val="single" w:color="auto" w:sz="4" w:space="0"/>
              <w:bottom w:val="single" w:color="auto" w:sz="4" w:space="0"/>
              <w:right w:val="single" w:color="auto" w:sz="4" w:space="0"/>
            </w:tcBorders>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p>
        </w:tc>
      </w:tr>
      <w:tr>
        <w:tblPrEx>
          <w:tblCellMar>
            <w:top w:w="0" w:type="dxa"/>
            <w:left w:w="108" w:type="dxa"/>
            <w:bottom w:w="0" w:type="dxa"/>
            <w:right w:w="108" w:type="dxa"/>
          </w:tblCellMar>
        </w:tblPrEx>
        <w:trPr>
          <w:trHeight w:val="848" w:hRule="atLeast"/>
        </w:trPr>
        <w:tc>
          <w:tcPr>
            <w:tcW w:w="83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jc w:val="center"/>
              <w:rPr>
                <w:rFonts w:cs="华文楷体" w:asciiTheme="minorEastAsia" w:hAnsiTheme="minorEastAsia" w:eastAsiaTheme="minorEastAsia"/>
                <w:color w:val="000000" w:themeColor="text1"/>
                <w:kern w:val="2"/>
              </w:rPr>
            </w:pPr>
            <w:r>
              <w:rPr>
                <w:rFonts w:hint="eastAsia" w:cs="华文楷体" w:asciiTheme="minorEastAsia" w:hAnsiTheme="minorEastAsia" w:eastAsiaTheme="minorEastAsia"/>
                <w:b/>
                <w:bCs/>
                <w:color w:val="000000" w:themeColor="text1"/>
                <w:sz w:val="24"/>
                <w:szCs w:val="24"/>
              </w:rPr>
              <w:t>合计（人民币）</w:t>
            </w:r>
          </w:p>
        </w:tc>
        <w:tc>
          <w:tcPr>
            <w:tcW w:w="802" w:type="pct"/>
            <w:tcBorders>
              <w:top w:val="single" w:color="auto" w:sz="4" w:space="0"/>
              <w:left w:val="nil"/>
              <w:bottom w:val="single" w:color="auto" w:sz="4" w:space="0"/>
              <w:right w:val="nil"/>
            </w:tcBorders>
          </w:tcPr>
          <w:p>
            <w:pPr>
              <w:widowControl/>
              <w:spacing w:line="400" w:lineRule="exact"/>
              <w:jc w:val="center"/>
              <w:rPr>
                <w:rFonts w:cs="华文楷体" w:asciiTheme="minorEastAsia" w:hAnsiTheme="minorEastAsia" w:eastAsiaTheme="minorEastAsia"/>
                <w:b/>
                <w:color w:val="000000" w:themeColor="text1"/>
                <w:kern w:val="0"/>
                <w:sz w:val="24"/>
              </w:rPr>
            </w:pPr>
          </w:p>
        </w:tc>
        <w:tc>
          <w:tcPr>
            <w:tcW w:w="3360"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b/>
                <w:color w:val="000000" w:themeColor="text1"/>
                <w:kern w:val="0"/>
                <w:szCs w:val="21"/>
              </w:rPr>
            </w:pPr>
            <w:r>
              <w:rPr>
                <w:rFonts w:hint="eastAsia" w:cs="华文楷体" w:asciiTheme="minorEastAsia" w:hAnsiTheme="minorEastAsia" w:eastAsiaTheme="minorEastAsia"/>
                <w:b/>
                <w:color w:val="000000" w:themeColor="text1"/>
                <w:kern w:val="0"/>
                <w:sz w:val="24"/>
              </w:rPr>
              <w:t>小写：                （大写：             ）</w:t>
            </w:r>
          </w:p>
        </w:tc>
      </w:tr>
    </w:tbl>
    <w:p>
      <w:pPr>
        <w:spacing w:line="340" w:lineRule="exact"/>
        <w:rPr>
          <w:rFonts w:cs="华文楷体" w:asciiTheme="minorEastAsia" w:hAnsiTheme="minorEastAsia" w:eastAsiaTheme="minorEastAsia"/>
          <w:b/>
          <w:color w:val="000000" w:themeColor="text1"/>
          <w:sz w:val="24"/>
        </w:rPr>
      </w:pPr>
    </w:p>
    <w:p>
      <w:pPr>
        <w:spacing w:line="34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注：投标报价包含了设备运输、装卸、安装、调试、配合费、保质期内的服务、利润、税金和承担的风险等一切可能产生的费用。</w:t>
      </w:r>
    </w:p>
    <w:p>
      <w:pPr>
        <w:spacing w:line="340" w:lineRule="exact"/>
        <w:ind w:firstLine="480" w:firstLineChars="200"/>
        <w:rPr>
          <w:rFonts w:cs="华文楷体" w:asciiTheme="minorEastAsia" w:hAnsiTheme="minorEastAsia" w:eastAsiaTheme="minorEastAsia"/>
          <w:color w:val="000000" w:themeColor="text1"/>
          <w:sz w:val="24"/>
        </w:rPr>
      </w:pPr>
    </w:p>
    <w:p>
      <w:pPr>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rPr>
      </w:pP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560" w:firstLineChars="1900"/>
        <w:rPr>
          <w:rFonts w:cs="华文楷体" w:asciiTheme="minorEastAsia" w:hAnsiTheme="minorEastAsia" w:eastAsiaTheme="minorEastAsia"/>
          <w:color w:val="000000" w:themeColor="text1"/>
          <w:sz w:val="24"/>
        </w:rPr>
      </w:pPr>
    </w:p>
    <w:p>
      <w:pPr>
        <w:spacing w:line="340" w:lineRule="exact"/>
        <w:ind w:firstLine="4560" w:firstLineChars="19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p>
    <w:p>
      <w:pPr>
        <w:spacing w:line="400" w:lineRule="exact"/>
        <w:ind w:firstLine="723" w:firstLineChars="300"/>
        <w:rPr>
          <w:rFonts w:cs="华文楷体" w:asciiTheme="minorEastAsia" w:hAnsiTheme="minorEastAsia" w:eastAsiaTheme="minorEastAsia"/>
          <w:b/>
          <w:color w:val="000000" w:themeColor="text1"/>
          <w:sz w:val="24"/>
        </w:rPr>
      </w:pPr>
    </w:p>
    <w:p>
      <w:pPr>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（四）投标报价明细表</w:t>
      </w:r>
    </w:p>
    <w:p>
      <w:pPr>
        <w:ind w:firstLine="350" w:firstLineChars="146"/>
        <w:rPr>
          <w:rFonts w:cs="华文楷体" w:asciiTheme="minorEastAsia" w:hAnsiTheme="minorEastAsia" w:eastAsiaTheme="minorEastAsia"/>
          <w:b w:val="0"/>
          <w:bCs w:val="0"/>
          <w:color w:val="000000" w:themeColor="text1"/>
          <w:sz w:val="24"/>
        </w:rPr>
      </w:pPr>
      <w:r>
        <w:rPr>
          <w:rFonts w:hint="eastAsia"/>
          <w:b w:val="0"/>
          <w:bCs w:val="0"/>
          <w:sz w:val="24"/>
        </w:rPr>
        <w:t>投标报价明细表由投标人自行制作，须体现该项目的价格构成。</w:t>
      </w:r>
    </w:p>
    <w:p>
      <w:pPr>
        <w:spacing w:line="400" w:lineRule="exact"/>
        <w:ind w:firstLine="723" w:firstLineChars="300"/>
        <w:rPr>
          <w:rFonts w:cs="华文楷体" w:asciiTheme="minorEastAsia" w:hAnsiTheme="minorEastAsia" w:eastAsiaTheme="minorEastAsia"/>
          <w:b/>
          <w:color w:val="000000" w:themeColor="text1"/>
          <w:sz w:val="24"/>
        </w:rPr>
      </w:pPr>
    </w:p>
    <w:p>
      <w:pPr>
        <w:spacing w:line="400" w:lineRule="exact"/>
        <w:ind w:firstLine="723" w:firstLineChars="300"/>
        <w:rPr>
          <w:rFonts w:cs="华文楷体" w:asciiTheme="minorEastAsia" w:hAnsiTheme="minorEastAsia" w:eastAsiaTheme="minorEastAsia"/>
          <w:b/>
          <w:color w:val="000000" w:themeColor="text1"/>
          <w:sz w:val="24"/>
        </w:rPr>
      </w:pPr>
    </w:p>
    <w:p>
      <w:pPr>
        <w:pStyle w:val="14"/>
        <w:spacing w:after="0" w:line="40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（五）投标人主要业绩一览表（</w:t>
      </w:r>
      <w:bookmarkStart w:id="7" w:name="_Hlk97887590"/>
      <w:r>
        <w:rPr>
          <w:rFonts w:hint="eastAsia" w:asciiTheme="minorEastAsia" w:hAnsiTheme="minorEastAsia" w:eastAsiaTheme="minorEastAsia"/>
          <w:b/>
          <w:sz w:val="24"/>
          <w:szCs w:val="24"/>
        </w:rPr>
        <w:t>201</w:t>
      </w:r>
      <w:r>
        <w:rPr>
          <w:rFonts w:asciiTheme="minorEastAsia" w:hAnsiTheme="minorEastAsia" w:eastAsiaTheme="minorEastAsia"/>
          <w:b/>
          <w:sz w:val="24"/>
          <w:szCs w:val="24"/>
        </w:rPr>
        <w:t>9</w:t>
      </w:r>
      <w:r>
        <w:rPr>
          <w:rFonts w:hint="eastAsia" w:asciiTheme="minorEastAsia" w:hAnsiTheme="minorEastAsia" w:eastAsiaTheme="minorEastAsia"/>
          <w:b/>
          <w:sz w:val="24"/>
          <w:szCs w:val="24"/>
        </w:rPr>
        <w:t>年</w:t>
      </w:r>
      <w:r>
        <w:rPr>
          <w:rFonts w:asciiTheme="minorEastAsia" w:hAnsiTheme="minorEastAsia" w:eastAsiaTheme="minorEastAsia"/>
          <w:b/>
          <w:sz w:val="24"/>
          <w:szCs w:val="24"/>
        </w:rPr>
        <w:t>7</w:t>
      </w:r>
      <w:r>
        <w:rPr>
          <w:rFonts w:hint="eastAsia" w:asciiTheme="minorEastAsia" w:hAnsiTheme="minorEastAsia" w:eastAsiaTheme="minorEastAsia"/>
          <w:b/>
          <w:sz w:val="24"/>
          <w:szCs w:val="24"/>
        </w:rPr>
        <w:t>月1日以来类似业绩</w:t>
      </w:r>
      <w:bookmarkEnd w:id="7"/>
      <w:r>
        <w:rPr>
          <w:rFonts w:hint="eastAsia" w:asciiTheme="minorEastAsia" w:hAnsiTheme="minorEastAsia" w:eastAsiaTheme="minorEastAsia"/>
          <w:b/>
          <w:sz w:val="24"/>
          <w:szCs w:val="24"/>
        </w:rPr>
        <w:t>）</w:t>
      </w:r>
    </w:p>
    <w:p>
      <w:pPr>
        <w:pStyle w:val="14"/>
        <w:spacing w:after="0" w:line="40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投标人名称：</w:t>
      </w:r>
    </w:p>
    <w:tbl>
      <w:tblPr>
        <w:tblStyle w:val="15"/>
        <w:tblW w:w="955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870"/>
        <w:gridCol w:w="2565"/>
        <w:gridCol w:w="1376"/>
        <w:gridCol w:w="2099"/>
        <w:gridCol w:w="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852"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序号</w:t>
            </w:r>
          </w:p>
        </w:tc>
        <w:tc>
          <w:tcPr>
            <w:tcW w:w="1870"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项目名称</w:t>
            </w:r>
          </w:p>
        </w:tc>
        <w:tc>
          <w:tcPr>
            <w:tcW w:w="2565"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地点</w:t>
            </w:r>
          </w:p>
        </w:tc>
        <w:tc>
          <w:tcPr>
            <w:tcW w:w="1376"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 xml:space="preserve"> 合同金额</w:t>
            </w:r>
          </w:p>
        </w:tc>
        <w:tc>
          <w:tcPr>
            <w:tcW w:w="2099" w:type="dxa"/>
          </w:tcPr>
          <w:p>
            <w:pPr>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业绩时间（年）</w:t>
            </w:r>
          </w:p>
        </w:tc>
        <w:tc>
          <w:tcPr>
            <w:tcW w:w="795"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9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9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9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9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95" w:type="dxa"/>
          </w:tcPr>
          <w:p>
            <w:pPr>
              <w:spacing w:line="400" w:lineRule="exact"/>
              <w:ind w:firstLine="482" w:firstLineChars="200"/>
              <w:rPr>
                <w:rFonts w:asciiTheme="minorEastAsia" w:hAnsiTheme="minorEastAsia" w:eastAsiaTheme="minorEastAsia"/>
                <w:b/>
                <w:sz w:val="24"/>
              </w:rPr>
            </w:pPr>
          </w:p>
        </w:tc>
      </w:tr>
    </w:tbl>
    <w:p>
      <w:pPr>
        <w:pStyle w:val="14"/>
        <w:spacing w:after="0"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注：应提供类似合同复印件加盖单位公章</w:t>
      </w: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b/>
          <w:color w:val="000000" w:themeColor="text1"/>
          <w:sz w:val="24"/>
        </w:rPr>
        <w:br w:type="page"/>
      </w:r>
    </w:p>
    <w:p>
      <w:pPr>
        <w:pStyle w:val="24"/>
        <w:spacing w:before="0" w:after="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（六）商务与技术条款偏离表</w:t>
      </w:r>
    </w:p>
    <w:tbl>
      <w:tblPr>
        <w:tblStyle w:val="15"/>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磋商文件</w:t>
            </w:r>
            <w:r>
              <w:rPr>
                <w:b/>
                <w:bCs/>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投标</w:t>
            </w:r>
            <w:r>
              <w:rPr>
                <w:b/>
                <w:bCs/>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bl>
    <w:p>
      <w:pPr>
        <w:ind w:left="413" w:hanging="413" w:hangingChars="196"/>
        <w:rPr>
          <w:b/>
        </w:rPr>
      </w:pPr>
      <w:r>
        <w:rPr>
          <w:b/>
        </w:rPr>
        <w:t>注：如无偏差，投标人不需要填表，但应声明：“本磋商文件完全响应磋商文件所有条款的要求，无偏差。”</w:t>
      </w:r>
    </w:p>
    <w:bookmarkEnd w:id="6"/>
    <w:p>
      <w:pPr>
        <w:pStyle w:val="27"/>
        <w:rPr>
          <w:rFonts w:cs="华文楷体" w:asciiTheme="minorEastAsia" w:hAnsiTheme="minorEastAsia" w:eastAsiaTheme="minorEastAsia"/>
          <w:b w:val="0"/>
          <w:color w:val="000000" w:themeColor="text1"/>
          <w:sz w:val="24"/>
        </w:rPr>
      </w:pPr>
      <w:r>
        <w:rPr>
          <w:rFonts w:cs="华文楷体" w:asciiTheme="minorEastAsia" w:hAnsiTheme="minorEastAsia" w:eastAsiaTheme="minorEastAsia"/>
          <w:b w:val="0"/>
          <w:color w:val="000000" w:themeColor="text1"/>
          <w:sz w:val="24"/>
        </w:rPr>
        <w:t>投标人：</w:t>
      </w:r>
      <w:r>
        <w:rPr>
          <w:rFonts w:cs="华文楷体" w:asciiTheme="minorEastAsia" w:hAnsiTheme="minorEastAsia" w:eastAsiaTheme="minorEastAsia"/>
          <w:b w:val="0"/>
          <w:color w:val="000000" w:themeColor="text1"/>
          <w:sz w:val="24"/>
          <w:u w:val="single"/>
        </w:rPr>
        <w:t xml:space="preserve">   （单位全称） （盖章）   </w:t>
      </w:r>
    </w:p>
    <w:p>
      <w:pPr>
        <w:pStyle w:val="27"/>
        <w:rPr>
          <w:rFonts w:cs="华文楷体" w:asciiTheme="minorEastAsia" w:hAnsiTheme="minorEastAsia" w:eastAsiaTheme="minorEastAsia"/>
          <w:b w:val="0"/>
          <w:color w:val="000000" w:themeColor="text1"/>
          <w:sz w:val="24"/>
        </w:rPr>
      </w:pPr>
      <w:r>
        <w:rPr>
          <w:rFonts w:hint="eastAsia" w:cs="华文楷体" w:asciiTheme="minorEastAsia" w:hAnsiTheme="minorEastAsia" w:eastAsiaTheme="minorEastAsia"/>
          <w:b w:val="0"/>
          <w:color w:val="000000" w:themeColor="text1"/>
          <w:sz w:val="24"/>
        </w:rPr>
        <w:t>投标人代表签字：___________________</w:t>
      </w:r>
    </w:p>
    <w:p>
      <w:pPr>
        <w:pStyle w:val="27"/>
        <w:rPr>
          <w:rFonts w:cs="华文楷体" w:asciiTheme="minorEastAsia" w:hAnsiTheme="minorEastAsia" w:eastAsiaTheme="minorEastAsia"/>
          <w:b w:val="0"/>
          <w:color w:val="000000" w:themeColor="text1"/>
          <w:sz w:val="24"/>
        </w:rPr>
      </w:pPr>
      <w:bookmarkStart w:id="8" w:name="_Toc86202650"/>
      <w:r>
        <w:rPr>
          <w:rFonts w:hint="eastAsia" w:cs="华文楷体" w:asciiTheme="minorEastAsia" w:hAnsiTheme="minorEastAsia" w:eastAsiaTheme="minorEastAsia"/>
          <w:b w:val="0"/>
          <w:color w:val="000000" w:themeColor="text1"/>
          <w:sz w:val="24"/>
        </w:rPr>
        <w:t>日期：</w:t>
      </w:r>
      <w:bookmarkEnd w:id="8"/>
    </w:p>
    <w:p>
      <w:pPr>
        <w:pStyle w:val="27"/>
        <w:rPr>
          <w:rFonts w:cs="华文楷体" w:asciiTheme="minorEastAsia" w:hAnsiTheme="minorEastAsia" w:eastAsiaTheme="minorEastAsia"/>
          <w:color w:val="000000" w:themeColor="text1"/>
          <w:sz w:val="24"/>
        </w:rPr>
      </w:pP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（七）资格审查符合性审查材料索引表</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cs="楷体"/>
                <w:bCs/>
                <w:sz w:val="24"/>
              </w:rPr>
              <w:t>法定代表人的授权委托书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cs="楷体"/>
                <w:bCs/>
                <w:sz w:val="24"/>
              </w:rPr>
              <w:t>营业执照复印件</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信用查询截图</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jc w:val="center"/>
              <w:rPr>
                <w:rFonts w:ascii="宋体" w:hAnsi="宋体" w:cs="楷体"/>
                <w:bCs/>
                <w:sz w:val="24"/>
              </w:rPr>
            </w:pPr>
            <w:r>
              <w:rPr>
                <w:rFonts w:hint="eastAsia" w:ascii="宋体" w:hAnsi="宋体" w:cs="楷体"/>
                <w:bCs/>
                <w:sz w:val="24"/>
              </w:rPr>
              <w:t>商务和技术偏离表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bl>
    <w:p>
      <w:pPr>
        <w:pStyle w:val="44"/>
        <w:spacing w:after="0"/>
        <w:ind w:firstLine="283" w:firstLineChars="118"/>
        <w:rPr>
          <w:rFonts w:ascii="宋体" w:hAnsi="宋体" w:eastAsia="宋体"/>
          <w:sz w:val="24"/>
          <w:szCs w:val="24"/>
        </w:rPr>
      </w:pPr>
      <w:r>
        <w:rPr>
          <w:rFonts w:hint="eastAsia" w:ascii="宋体" w:hAnsi="宋体" w:eastAsia="宋体"/>
          <w:sz w:val="24"/>
          <w:szCs w:val="24"/>
        </w:rPr>
        <w:t>注：</w:t>
      </w:r>
    </w:p>
    <w:p>
      <w:pPr>
        <w:pStyle w:val="44"/>
        <w:spacing w:after="0"/>
        <w:ind w:firstLine="284" w:firstLineChars="118"/>
        <w:rPr>
          <w:rFonts w:ascii="宋体" w:hAnsi="宋体" w:eastAsia="宋体"/>
          <w:b/>
          <w:sz w:val="24"/>
          <w:szCs w:val="24"/>
        </w:rPr>
      </w:pPr>
      <w:r>
        <w:rPr>
          <w:rFonts w:hint="eastAsia" w:ascii="宋体" w:hAnsi="宋体" w:eastAsia="宋体"/>
          <w:b/>
          <w:sz w:val="24"/>
          <w:szCs w:val="24"/>
        </w:rPr>
        <w:t>1）投标人需标明相关材料在投标文件中的对应页码。</w:t>
      </w:r>
    </w:p>
    <w:p>
      <w:pPr>
        <w:pStyle w:val="44"/>
        <w:spacing w:after="0"/>
        <w:ind w:firstLine="283" w:firstLineChars="118"/>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4"/>
        <w:ind w:firstLine="210"/>
      </w:pPr>
    </w:p>
    <w:p>
      <w:pPr>
        <w:pStyle w:val="14"/>
        <w:ind w:firstLine="210"/>
      </w:pP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（八）评分索引表</w:t>
      </w:r>
    </w:p>
    <w:tbl>
      <w:tblPr>
        <w:tblStyle w:val="15"/>
        <w:tblW w:w="973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59"/>
        <w:gridCol w:w="734"/>
        <w:gridCol w:w="1418"/>
        <w:gridCol w:w="5511"/>
        <w:gridCol w:w="708"/>
        <w:gridCol w:w="240"/>
        <w:gridCol w:w="5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98"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序号</w:t>
            </w:r>
          </w:p>
        </w:tc>
        <w:tc>
          <w:tcPr>
            <w:tcW w:w="734"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评审因素</w:t>
            </w:r>
          </w:p>
        </w:tc>
        <w:tc>
          <w:tcPr>
            <w:tcW w:w="141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评审项目</w:t>
            </w:r>
          </w:p>
        </w:tc>
        <w:tc>
          <w:tcPr>
            <w:tcW w:w="551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评审细则</w:t>
            </w:r>
          </w:p>
        </w:tc>
        <w:tc>
          <w:tcPr>
            <w:tcW w:w="708" w:type="dxa"/>
            <w:tcBorders>
              <w:top w:val="single" w:color="000000" w:sz="6" w:space="0"/>
              <w:left w:val="nil"/>
              <w:bottom w:val="single" w:color="auto" w:sz="4" w:space="0"/>
              <w:right w:val="nil"/>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分值</w:t>
            </w:r>
          </w:p>
        </w:tc>
        <w:tc>
          <w:tcPr>
            <w:tcW w:w="240"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spacing w:before="100" w:beforeAutospacing="1" w:after="100" w:afterAutospacing="1"/>
              <w:rPr>
                <w:rFonts w:cs="宋体" w:asciiTheme="minorEastAsia" w:hAnsiTheme="minorEastAsia" w:eastAsiaTheme="minorEastAsia"/>
                <w:kern w:val="0"/>
                <w:sz w:val="24"/>
              </w:rPr>
            </w:pPr>
          </w:p>
        </w:tc>
        <w:tc>
          <w:tcPr>
            <w:tcW w:w="563" w:type="dxa"/>
            <w:tcBorders>
              <w:top w:val="single" w:color="000000" w:sz="6" w:space="0"/>
              <w:left w:val="nil"/>
              <w:bottom w:val="single" w:color="auto" w:sz="4"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b/>
                <w:kern w:val="0"/>
                <w:sz w:val="24"/>
              </w:rPr>
            </w:pPr>
            <w:r>
              <w:rPr>
                <w:rFonts w:cs="宋体" w:asciiTheme="minorEastAsia" w:hAnsiTheme="minorEastAsia" w:eastAsiaTheme="minorEastAsia"/>
                <w:b/>
                <w:kern w:val="0"/>
                <w:sz w:val="24"/>
              </w:rPr>
              <w:t>对应页码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restart"/>
            <w:tcBorders>
              <w:top w:val="nil"/>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734" w:type="dxa"/>
            <w:vMerge w:val="restart"/>
            <w:tcBorders>
              <w:top w:val="nil"/>
              <w:left w:val="nil"/>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r>
              <w:rPr>
                <w:rFonts w:hint="eastAsia" w:ascii="宋体" w:hAnsi="宋体" w:cs="楷体"/>
                <w:kern w:val="0"/>
                <w:sz w:val="24"/>
              </w:rPr>
              <w:t>技术</w:t>
            </w:r>
          </w:p>
          <w:p>
            <w:pPr>
              <w:widowControl/>
              <w:jc w:val="center"/>
              <w:rPr>
                <w:rFonts w:ascii="宋体" w:hAnsi="宋体" w:cs="楷体"/>
                <w:kern w:val="0"/>
                <w:sz w:val="24"/>
              </w:rPr>
            </w:pPr>
            <w:r>
              <w:rPr>
                <w:rFonts w:ascii="宋体" w:hAnsi="宋体" w:cs="楷体"/>
                <w:kern w:val="0"/>
                <w:sz w:val="24"/>
              </w:rPr>
              <w:t>5</w:t>
            </w:r>
            <w:r>
              <w:rPr>
                <w:rFonts w:hint="eastAsia" w:ascii="宋体" w:hAnsi="宋体" w:cs="楷体"/>
                <w:kern w:val="0"/>
                <w:sz w:val="24"/>
              </w:rPr>
              <w:t>0分</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ascii="宋体" w:hAnsi="宋体" w:cs="宋体"/>
                <w:color w:val="000000"/>
                <w:sz w:val="24"/>
              </w:rPr>
              <w:t>技术参数及功能响应（</w:t>
            </w:r>
            <w:r>
              <w:rPr>
                <w:rFonts w:ascii="宋体" w:hAnsi="宋体" w:cs="宋体"/>
                <w:color w:val="000000"/>
                <w:sz w:val="24"/>
              </w:rPr>
              <w:t>4</w:t>
            </w:r>
            <w:r>
              <w:rPr>
                <w:rFonts w:hint="eastAsia" w:ascii="宋体" w:hAnsi="宋体" w:cs="宋体"/>
                <w:color w:val="000000"/>
                <w:sz w:val="24"/>
              </w:rPr>
              <w:t>0分）</w:t>
            </w:r>
          </w:p>
        </w:tc>
        <w:tc>
          <w:tcPr>
            <w:tcW w:w="5511" w:type="dxa"/>
            <w:tcBorders>
              <w:top w:val="nil"/>
              <w:left w:val="nil"/>
              <w:bottom w:val="single" w:color="auto" w:sz="4" w:space="0"/>
              <w:right w:val="single" w:color="auto"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color w:val="000000"/>
                <w:sz w:val="24"/>
              </w:rPr>
              <w:t>投标产品技术参数全部符合磋商文件技术要求的得</w:t>
            </w:r>
            <w:r>
              <w:rPr>
                <w:rFonts w:ascii="宋体" w:hAnsi="宋体" w:cs="楷体"/>
                <w:color w:val="000000"/>
                <w:sz w:val="24"/>
              </w:rPr>
              <w:t>30</w:t>
            </w:r>
            <w:r>
              <w:rPr>
                <w:rFonts w:hint="eastAsia" w:ascii="宋体" w:hAnsi="宋体" w:cs="楷体"/>
                <w:color w:val="000000"/>
                <w:sz w:val="24"/>
              </w:rPr>
              <w:t>分。每负偏离一项扣2分，扣完为止；有一项评委组认可的正偏离加1分。本项最高得</w:t>
            </w:r>
            <w:r>
              <w:rPr>
                <w:rFonts w:ascii="宋体" w:hAnsi="宋体" w:cs="楷体"/>
                <w:color w:val="000000"/>
                <w:sz w:val="24"/>
              </w:rPr>
              <w:t>3</w:t>
            </w:r>
            <w:r>
              <w:rPr>
                <w:rFonts w:hint="eastAsia" w:ascii="宋体" w:hAnsi="宋体" w:cs="楷体"/>
                <w:color w:val="000000"/>
                <w:sz w:val="24"/>
              </w:rPr>
              <w:t>0分。</w:t>
            </w:r>
          </w:p>
        </w:tc>
        <w:tc>
          <w:tcPr>
            <w:tcW w:w="94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4</w:t>
            </w:r>
            <w:r>
              <w:rPr>
                <w:rFonts w:hint="eastAsia" w:cs="宋体" w:asciiTheme="minorEastAsia" w:hAnsiTheme="minorEastAsia" w:eastAsiaTheme="minorEastAsia"/>
                <w:kern w:val="0"/>
                <w:sz w:val="24"/>
              </w:rPr>
              <w:t>0</w:t>
            </w:r>
          </w:p>
        </w:tc>
        <w:tc>
          <w:tcPr>
            <w:tcW w:w="56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cs="宋体"/>
                <w:color w:val="000000"/>
                <w:sz w:val="24"/>
              </w:rPr>
            </w:pPr>
            <w:r>
              <w:rPr>
                <w:rFonts w:hint="eastAsia" w:asciiTheme="minorEastAsia" w:hAnsiTheme="minorEastAsia" w:eastAsiaTheme="minorEastAsia"/>
                <w:sz w:val="24"/>
              </w:rPr>
              <w:t>品牌和选型（</w:t>
            </w:r>
            <w:r>
              <w:rPr>
                <w:rFonts w:asciiTheme="minorEastAsia" w:hAnsiTheme="minorEastAsia" w:eastAsiaTheme="minorEastAsia"/>
                <w:sz w:val="24"/>
              </w:rPr>
              <w:t>10</w:t>
            </w:r>
            <w:r>
              <w:rPr>
                <w:rFonts w:hint="eastAsia" w:asciiTheme="minorEastAsia" w:hAnsiTheme="minorEastAsia" w:eastAsiaTheme="minorEastAsia"/>
                <w:sz w:val="24"/>
              </w:rPr>
              <w:t>分）</w:t>
            </w:r>
          </w:p>
        </w:tc>
        <w:tc>
          <w:tcPr>
            <w:tcW w:w="5511" w:type="dxa"/>
            <w:tcBorders>
              <w:top w:val="single" w:color="auto" w:sz="4" w:space="0"/>
              <w:left w:val="nil"/>
              <w:bottom w:val="single" w:color="000000" w:sz="6" w:space="0"/>
              <w:right w:val="single" w:color="auto" w:sz="4" w:space="0"/>
            </w:tcBorders>
            <w:tcMar>
              <w:top w:w="0" w:type="dxa"/>
              <w:left w:w="105" w:type="dxa"/>
              <w:bottom w:w="0" w:type="dxa"/>
              <w:right w:w="105" w:type="dxa"/>
            </w:tcMar>
            <w:vAlign w:val="center"/>
          </w:tcPr>
          <w:p>
            <w:pPr>
              <w:widowControl/>
              <w:jc w:val="left"/>
              <w:rPr>
                <w:rFonts w:ascii="宋体" w:hAnsi="宋体" w:cs="楷体"/>
                <w:color w:val="000000"/>
                <w:sz w:val="24"/>
              </w:rPr>
            </w:pPr>
            <w:r>
              <w:rPr>
                <w:rFonts w:hint="eastAsia" w:cs="宋体" w:asciiTheme="minorEastAsia" w:hAnsiTheme="minorEastAsia" w:eastAsiaTheme="minorEastAsia"/>
                <w:kern w:val="0"/>
                <w:sz w:val="24"/>
              </w:rPr>
              <w:t>根据投标人所投设备的品牌与选型情况进行综合打分。优等</w:t>
            </w:r>
            <w:r>
              <w:rPr>
                <w:rFonts w:cs="宋体" w:asciiTheme="minorEastAsia" w:hAnsiTheme="minorEastAsia" w:eastAsiaTheme="minorEastAsia"/>
                <w:kern w:val="0"/>
                <w:sz w:val="24"/>
              </w:rPr>
              <w:t>9</w:t>
            </w: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0</w:t>
            </w:r>
            <w:r>
              <w:rPr>
                <w:rFonts w:hint="eastAsia" w:cs="宋体" w:asciiTheme="minorEastAsia" w:hAnsiTheme="minorEastAsia" w:eastAsiaTheme="minorEastAsia"/>
                <w:kern w:val="0"/>
                <w:sz w:val="24"/>
              </w:rPr>
              <w:t>分；良等的</w:t>
            </w:r>
            <w:r>
              <w:rPr>
                <w:rFonts w:cs="宋体" w:asciiTheme="minorEastAsia" w:hAnsiTheme="minorEastAsia" w:eastAsiaTheme="minorEastAsia"/>
                <w:kern w:val="0"/>
                <w:sz w:val="24"/>
              </w:rPr>
              <w:t>7</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8</w:t>
            </w:r>
            <w:r>
              <w:rPr>
                <w:rFonts w:hint="eastAsia" w:cs="宋体" w:asciiTheme="minorEastAsia" w:hAnsiTheme="minorEastAsia" w:eastAsiaTheme="minorEastAsia"/>
                <w:kern w:val="0"/>
                <w:sz w:val="24"/>
              </w:rPr>
              <w:t>分，一般的</w:t>
            </w:r>
            <w:r>
              <w:rPr>
                <w:rFonts w:cs="宋体" w:asciiTheme="minorEastAsia" w:hAnsiTheme="minorEastAsia" w:eastAsiaTheme="minorEastAsia"/>
                <w:kern w:val="0"/>
                <w:sz w:val="24"/>
              </w:rPr>
              <w:t>6</w:t>
            </w:r>
            <w:r>
              <w:rPr>
                <w:rFonts w:hint="eastAsia" w:cs="宋体" w:asciiTheme="minorEastAsia" w:hAnsiTheme="minorEastAsia" w:eastAsiaTheme="minorEastAsia"/>
                <w:kern w:val="0"/>
                <w:sz w:val="24"/>
              </w:rPr>
              <w:t>分，其他的</w:t>
            </w:r>
            <w:r>
              <w:rPr>
                <w:rFonts w:cs="宋体" w:asciiTheme="minorEastAsia" w:hAnsiTheme="minorEastAsia" w:eastAsiaTheme="minorEastAsia"/>
                <w:kern w:val="0"/>
                <w:sz w:val="24"/>
              </w:rPr>
              <w:t>6</w:t>
            </w:r>
            <w:r>
              <w:rPr>
                <w:rFonts w:hint="eastAsia" w:cs="宋体" w:asciiTheme="minorEastAsia" w:hAnsiTheme="minorEastAsia" w:eastAsiaTheme="minorEastAsia"/>
                <w:kern w:val="0"/>
                <w:sz w:val="24"/>
              </w:rPr>
              <w:t>分以下。</w:t>
            </w:r>
          </w:p>
        </w:tc>
        <w:tc>
          <w:tcPr>
            <w:tcW w:w="94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0</w:t>
            </w:r>
          </w:p>
        </w:tc>
        <w:tc>
          <w:tcPr>
            <w:tcW w:w="56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3" w:hRule="atLeast"/>
          <w:jc w:val="center"/>
        </w:trPr>
        <w:tc>
          <w:tcPr>
            <w:tcW w:w="559" w:type="dxa"/>
            <w:vMerge w:val="restart"/>
            <w:tcBorders>
              <w:top w:val="nil"/>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734" w:type="dxa"/>
            <w:vMerge w:val="restart"/>
            <w:tcBorders>
              <w:top w:val="nil"/>
              <w:left w:val="nil"/>
              <w:right w:val="single" w:color="000000" w:sz="6" w:space="0"/>
            </w:tcBorders>
            <w:tcMar>
              <w:top w:w="0" w:type="dxa"/>
              <w:left w:w="105" w:type="dxa"/>
              <w:bottom w:w="0" w:type="dxa"/>
              <w:right w:w="105" w:type="dxa"/>
            </w:tcMar>
            <w:vAlign w:val="center"/>
          </w:tcPr>
          <w:p>
            <w:pPr>
              <w:widowControl/>
              <w:rPr>
                <w:rFonts w:cs="宋体" w:asciiTheme="minorEastAsia" w:hAnsiTheme="minorEastAsia" w:eastAsiaTheme="minorEastAsia"/>
                <w:kern w:val="0"/>
                <w:sz w:val="24"/>
              </w:rPr>
            </w:pPr>
            <w:r>
              <w:rPr>
                <w:rFonts w:hint="eastAsia" w:ascii="宋体" w:hAnsi="宋体" w:cs="楷体"/>
                <w:kern w:val="0"/>
                <w:sz w:val="24"/>
              </w:rPr>
              <w:t>商务2</w:t>
            </w:r>
            <w:r>
              <w:rPr>
                <w:rFonts w:ascii="宋体" w:hAnsi="宋体" w:cs="楷体"/>
                <w:kern w:val="0"/>
                <w:sz w:val="24"/>
              </w:rPr>
              <w:t>0</w:t>
            </w:r>
            <w:r>
              <w:rPr>
                <w:rFonts w:hint="eastAsia" w:ascii="宋体" w:hAnsi="宋体" w:cs="楷体"/>
                <w:kern w:val="0"/>
                <w:sz w:val="24"/>
              </w:rPr>
              <w:t>分</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ascii="宋体" w:hAnsi="宋体" w:cs="楷体"/>
                <w:kern w:val="0"/>
                <w:sz w:val="24"/>
              </w:rPr>
              <w:t>整体实力（5分）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kern w:val="0"/>
                <w:sz w:val="24"/>
              </w:rPr>
              <w:t>根据投标人生产或经营本项目的能力与资格，即综合考虑其资质、实力、质量控制、管理能力、技术研发能力和水平进行评分：优得5分，良得4分，一般得3分，其他得3分以下。</w:t>
            </w:r>
          </w:p>
        </w:tc>
        <w:tc>
          <w:tcPr>
            <w:tcW w:w="948" w:type="dxa"/>
            <w:gridSpan w:val="2"/>
            <w:tcBorders>
              <w:top w:val="single" w:color="auto" w:sz="4" w:space="0"/>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w:t>
            </w:r>
          </w:p>
        </w:tc>
        <w:tc>
          <w:tcPr>
            <w:tcW w:w="563" w:type="dxa"/>
            <w:tcBorders>
              <w:top w:val="single" w:color="auto" w:sz="4" w:space="0"/>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64" w:hRule="atLeast"/>
          <w:jc w:val="center"/>
        </w:trPr>
        <w:tc>
          <w:tcPr>
            <w:tcW w:w="559" w:type="dxa"/>
            <w:vMerge w:val="continue"/>
            <w:tcBorders>
              <w:left w:val="single" w:color="000000" w:sz="6" w:space="0"/>
              <w:right w:val="single" w:color="000000" w:sz="6" w:space="0"/>
            </w:tcBorders>
            <w:vAlign w:val="center"/>
          </w:tcPr>
          <w:p>
            <w:pPr>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vAlign w:val="center"/>
          </w:tcPr>
          <w:p>
            <w:pPr>
              <w:jc w:val="center"/>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ascii="宋体" w:hAnsi="宋体" w:cs="楷体"/>
                <w:kern w:val="0"/>
                <w:sz w:val="24"/>
              </w:rPr>
              <w:t>业绩及信誉（5分）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投标文件中提供投标人自201</w:t>
            </w:r>
            <w:r>
              <w:rPr>
                <w:rFonts w:cs="宋体" w:asciiTheme="minorEastAsia" w:hAnsiTheme="minorEastAsia" w:eastAsiaTheme="minorEastAsia"/>
                <w:kern w:val="0"/>
                <w:sz w:val="24"/>
              </w:rPr>
              <w:t>9</w:t>
            </w:r>
            <w:r>
              <w:rPr>
                <w:rFonts w:hint="eastAsia" w:cs="宋体" w:asciiTheme="minorEastAsia" w:hAnsiTheme="minorEastAsia" w:eastAsiaTheme="minorEastAsia"/>
                <w:kern w:val="0"/>
                <w:sz w:val="24"/>
              </w:rPr>
              <w:t>年</w:t>
            </w:r>
            <w:r>
              <w:rPr>
                <w:rFonts w:cs="宋体" w:asciiTheme="minorEastAsia" w:hAnsiTheme="minorEastAsia" w:eastAsiaTheme="minorEastAsia"/>
                <w:kern w:val="0"/>
                <w:sz w:val="24"/>
              </w:rPr>
              <w:t>7</w:t>
            </w:r>
            <w:r>
              <w:rPr>
                <w:rFonts w:hint="eastAsia" w:cs="宋体" w:asciiTheme="minorEastAsia" w:hAnsiTheme="minorEastAsia" w:eastAsiaTheme="minorEastAsia"/>
                <w:kern w:val="0"/>
                <w:sz w:val="24"/>
              </w:rPr>
              <w:t>月1日以来类似项目业绩，有一份得1分，最高得5分。（</w:t>
            </w:r>
            <w:r>
              <w:rPr>
                <w:rFonts w:hint="eastAsia" w:cs="宋体" w:asciiTheme="minorEastAsia" w:hAnsiTheme="minorEastAsia" w:eastAsiaTheme="minorEastAsia"/>
                <w:b/>
                <w:kern w:val="0"/>
                <w:sz w:val="24"/>
              </w:rPr>
              <w:t>合同复印件需加盖投标单位公章，否则不得分。</w:t>
            </w:r>
            <w:r>
              <w:rPr>
                <w:rFonts w:hint="eastAsia" w:cs="宋体" w:asciiTheme="minorEastAsia" w:hAnsiTheme="minorEastAsia" w:eastAsiaTheme="minorEastAsia"/>
                <w:kern w:val="0"/>
                <w:sz w:val="24"/>
              </w:rPr>
              <w:t>）</w:t>
            </w:r>
          </w:p>
        </w:tc>
        <w:tc>
          <w:tcPr>
            <w:tcW w:w="948"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w:t>
            </w:r>
          </w:p>
        </w:tc>
        <w:tc>
          <w:tcPr>
            <w:tcW w:w="563"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50" w:hRule="atLeast"/>
          <w:jc w:val="center"/>
        </w:trPr>
        <w:tc>
          <w:tcPr>
            <w:tcW w:w="559" w:type="dxa"/>
            <w:vMerge w:val="continue"/>
            <w:tcBorders>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Theme="minorEastAsia" w:hAnsiTheme="minorEastAsia" w:eastAsiaTheme="minorEastAsia"/>
                <w:sz w:val="24"/>
              </w:rPr>
            </w:pPr>
            <w:r>
              <w:rPr>
                <w:rFonts w:hint="eastAsia" w:ascii="宋体" w:hAnsi="宋体" w:cs="楷体"/>
                <w:kern w:val="0"/>
                <w:sz w:val="24"/>
              </w:rPr>
              <w:t>质保（</w:t>
            </w:r>
            <w:r>
              <w:rPr>
                <w:rFonts w:ascii="宋体" w:hAnsi="宋体" w:cs="楷体"/>
                <w:kern w:val="0"/>
                <w:sz w:val="24"/>
              </w:rPr>
              <w:t>5</w:t>
            </w:r>
            <w:r>
              <w:rPr>
                <w:rFonts w:hint="eastAsia" w:ascii="宋体" w:hAnsi="宋体" w:cs="楷体"/>
                <w:kern w:val="0"/>
                <w:sz w:val="24"/>
              </w:rPr>
              <w:t>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kern w:val="0"/>
                <w:sz w:val="24"/>
              </w:rPr>
              <w:t>满足招标文件质保最低要求得</w:t>
            </w:r>
            <w:r>
              <w:rPr>
                <w:rFonts w:ascii="宋体" w:hAnsi="宋体" w:cs="楷体"/>
                <w:kern w:val="0"/>
                <w:sz w:val="24"/>
              </w:rPr>
              <w:t>1</w:t>
            </w:r>
            <w:r>
              <w:rPr>
                <w:rFonts w:hint="eastAsia" w:ascii="宋体" w:hAnsi="宋体" w:cs="楷体"/>
                <w:kern w:val="0"/>
                <w:sz w:val="24"/>
              </w:rPr>
              <w:t>分，每增加1年质保加1分，本项最高得5分。</w:t>
            </w:r>
          </w:p>
        </w:tc>
        <w:tc>
          <w:tcPr>
            <w:tcW w:w="948"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563"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59" w:type="dxa"/>
            <w:vMerge w:val="continue"/>
            <w:tcBorders>
              <w:left w:val="single" w:color="000000" w:sz="6" w:space="0"/>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p>
        </w:tc>
        <w:tc>
          <w:tcPr>
            <w:tcW w:w="734" w:type="dxa"/>
            <w:vMerge w:val="continue"/>
            <w:tcBorders>
              <w:left w:val="nil"/>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Theme="minorEastAsia" w:hAnsiTheme="minorEastAsia" w:eastAsiaTheme="minorEastAsia"/>
                <w:sz w:val="24"/>
              </w:rPr>
            </w:pPr>
            <w:r>
              <w:rPr>
                <w:rFonts w:hint="eastAsia" w:ascii="宋体" w:hAnsi="宋体" w:cs="楷体"/>
                <w:kern w:val="0"/>
                <w:sz w:val="24"/>
              </w:rPr>
              <w:t>售后服务（</w:t>
            </w:r>
            <w:r>
              <w:rPr>
                <w:rFonts w:ascii="宋体" w:hAnsi="宋体" w:cs="楷体"/>
                <w:kern w:val="0"/>
                <w:sz w:val="24"/>
              </w:rPr>
              <w:t>5</w:t>
            </w:r>
            <w:r>
              <w:rPr>
                <w:rFonts w:hint="eastAsia" w:ascii="宋体" w:hAnsi="宋体" w:cs="楷体"/>
                <w:kern w:val="0"/>
                <w:sz w:val="24"/>
              </w:rPr>
              <w:t>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hint="eastAsia" w:ascii="宋体" w:hAnsi="宋体" w:cs="楷体"/>
                <w:kern w:val="0"/>
                <w:sz w:val="24"/>
              </w:rPr>
              <w:t>分，良得</w:t>
            </w:r>
            <w:r>
              <w:rPr>
                <w:rFonts w:ascii="宋体" w:hAnsi="宋体" w:cs="楷体"/>
                <w:kern w:val="0"/>
                <w:sz w:val="24"/>
              </w:rPr>
              <w:t>4</w:t>
            </w:r>
            <w:r>
              <w:rPr>
                <w:rFonts w:hint="eastAsia" w:ascii="宋体" w:hAnsi="宋体" w:cs="楷体"/>
                <w:kern w:val="0"/>
                <w:sz w:val="24"/>
              </w:rPr>
              <w:t>分，一般得</w:t>
            </w:r>
            <w:r>
              <w:rPr>
                <w:rFonts w:ascii="宋体" w:hAnsi="宋体" w:cs="楷体"/>
                <w:kern w:val="0"/>
                <w:sz w:val="24"/>
              </w:rPr>
              <w:t>3</w:t>
            </w:r>
            <w:r>
              <w:rPr>
                <w:rFonts w:hint="eastAsia" w:ascii="宋体" w:hAnsi="宋体" w:cs="楷体"/>
                <w:kern w:val="0"/>
                <w:sz w:val="24"/>
              </w:rPr>
              <w:t>分，其他得</w:t>
            </w:r>
            <w:r>
              <w:rPr>
                <w:rFonts w:ascii="宋体" w:hAnsi="宋体" w:cs="楷体"/>
                <w:kern w:val="0"/>
                <w:sz w:val="24"/>
              </w:rPr>
              <w:t>3</w:t>
            </w:r>
            <w:r>
              <w:rPr>
                <w:rFonts w:hint="eastAsia" w:ascii="宋体" w:hAnsi="宋体" w:cs="楷体"/>
                <w:kern w:val="0"/>
                <w:sz w:val="24"/>
              </w:rPr>
              <w:t>分以下。</w:t>
            </w:r>
            <w:bookmarkStart w:id="10" w:name="_GoBack"/>
            <w:bookmarkEnd w:id="10"/>
          </w:p>
        </w:tc>
        <w:tc>
          <w:tcPr>
            <w:tcW w:w="948"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563"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9" w:hRule="atLeast"/>
          <w:jc w:val="center"/>
        </w:trPr>
        <w:tc>
          <w:tcPr>
            <w:tcW w:w="559" w:type="dxa"/>
            <w:tcBorders>
              <w:top w:val="nil"/>
              <w:left w:val="single" w:color="000000" w:sz="6" w:space="0"/>
              <w:bottom w:val="single" w:color="auto" w:sz="4" w:space="0"/>
              <w:right w:val="single" w:color="000000" w:sz="6" w:space="0"/>
            </w:tcBorders>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w:t>
            </w:r>
          </w:p>
        </w:tc>
        <w:tc>
          <w:tcPr>
            <w:tcW w:w="734" w:type="dxa"/>
            <w:tcBorders>
              <w:top w:val="nil"/>
              <w:left w:val="nil"/>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价格3</w:t>
            </w:r>
            <w:r>
              <w:rPr>
                <w:rFonts w:cs="宋体" w:asciiTheme="minorEastAsia" w:hAnsiTheme="minorEastAsia" w:eastAsiaTheme="minorEastAsia"/>
                <w:kern w:val="0"/>
                <w:sz w:val="24"/>
              </w:rPr>
              <w:t>0</w:t>
            </w:r>
            <w:r>
              <w:rPr>
                <w:rFonts w:hint="eastAsia" w:cs="宋体" w:asciiTheme="minorEastAsia" w:hAnsiTheme="minorEastAsia" w:eastAsiaTheme="minorEastAsia"/>
                <w:kern w:val="0"/>
                <w:sz w:val="24"/>
              </w:rPr>
              <w:t>分</w:t>
            </w:r>
          </w:p>
        </w:tc>
        <w:tc>
          <w:tcPr>
            <w:tcW w:w="1418"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Theme="minorEastAsia" w:hAnsiTheme="minorEastAsia" w:eastAsiaTheme="minorEastAsia"/>
                <w:sz w:val="24"/>
              </w:rPr>
            </w:pPr>
            <w:r>
              <w:rPr>
                <w:rFonts w:hint="eastAsia" w:ascii="宋体" w:hAnsi="宋体" w:cs="楷体"/>
                <w:kern w:val="0"/>
                <w:sz w:val="24"/>
              </w:rPr>
              <w:t>报价（</w:t>
            </w:r>
            <w:r>
              <w:rPr>
                <w:rFonts w:ascii="宋体" w:hAnsi="宋体" w:cs="楷体"/>
                <w:kern w:val="0"/>
                <w:sz w:val="24"/>
                <w:lang w:eastAsia="ja-JP"/>
              </w:rPr>
              <w:t>3</w:t>
            </w:r>
            <w:r>
              <w:rPr>
                <w:rFonts w:hint="eastAsia" w:ascii="宋体" w:hAnsi="宋体" w:cs="楷体"/>
                <w:kern w:val="0"/>
                <w:sz w:val="24"/>
                <w:lang w:eastAsia="ja-JP"/>
              </w:rPr>
              <w:t>0</w:t>
            </w:r>
            <w:r>
              <w:rPr>
                <w:rFonts w:hint="eastAsia" w:ascii="宋体" w:hAnsi="宋体" w:cs="楷体"/>
                <w:kern w:val="0"/>
                <w:sz w:val="24"/>
              </w:rPr>
              <w:t>分）</w:t>
            </w:r>
          </w:p>
        </w:tc>
        <w:tc>
          <w:tcPr>
            <w:tcW w:w="55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宋体"/>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hint="eastAsia" w:ascii="宋体" w:hAnsi="宋体" w:cs="宋体"/>
                <w:kern w:val="0"/>
                <w:sz w:val="24"/>
              </w:rPr>
              <w:t>0</w:t>
            </w:r>
          </w:p>
        </w:tc>
        <w:tc>
          <w:tcPr>
            <w:tcW w:w="94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30</w:t>
            </w:r>
          </w:p>
        </w:tc>
        <w:tc>
          <w:tcPr>
            <w:tcW w:w="5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p>
        </w:tc>
      </w:tr>
    </w:tbl>
    <w:p>
      <w:pPr>
        <w:pStyle w:val="27"/>
        <w:rPr>
          <w:rFonts w:cs="华文楷体" w:asciiTheme="minorEastAsia" w:hAnsiTheme="minorEastAsia" w:eastAsiaTheme="minorEastAsia"/>
          <w:color w:val="000000" w:themeColor="text1"/>
          <w:sz w:val="24"/>
        </w:rPr>
      </w:pPr>
    </w:p>
    <w:p>
      <w:pPr>
        <w:rPr>
          <w:rFonts w:ascii="宋体" w:hAnsi="宋体"/>
          <w:b/>
          <w:sz w:val="24"/>
        </w:rPr>
      </w:pPr>
      <w:r>
        <w:rPr>
          <w:rFonts w:hint="eastAsia" w:ascii="宋体" w:hAnsi="宋体"/>
          <w:b/>
          <w:sz w:val="24"/>
        </w:rPr>
        <w:t>注：投标人需标明相关材料在投标文件中的对应页码。</w:t>
      </w:r>
    </w:p>
    <w:p>
      <w:pPr>
        <w:widowControl/>
        <w:jc w:val="left"/>
        <w:rPr>
          <w:rFonts w:cs="华文楷体" w:asciiTheme="minorEastAsia" w:hAnsiTheme="minorEastAsia" w:eastAsiaTheme="minorEastAsia"/>
          <w:b/>
          <w:bCs/>
          <w:color w:val="000000" w:themeColor="text1"/>
          <w:kern w:val="0"/>
          <w:sz w:val="24"/>
          <w:szCs w:val="20"/>
        </w:rPr>
      </w:pPr>
      <w:r>
        <w:rPr>
          <w:rFonts w:cs="华文楷体" w:asciiTheme="minorEastAsia" w:hAnsiTheme="minorEastAsia" w:eastAsiaTheme="minorEastAsia"/>
          <w:b/>
          <w:color w:val="000000" w:themeColor="text1"/>
          <w:sz w:val="24"/>
        </w:rPr>
        <w:br w:type="page"/>
      </w: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本项目评分细则：</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360"/>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78" w:type="dxa"/>
            <w:vAlign w:val="center"/>
          </w:tcPr>
          <w:p>
            <w:pPr>
              <w:widowControl/>
              <w:jc w:val="center"/>
              <w:rPr>
                <w:rFonts w:ascii="宋体" w:hAnsi="宋体" w:cs="楷体"/>
                <w:b/>
                <w:kern w:val="0"/>
                <w:sz w:val="24"/>
              </w:rPr>
            </w:pPr>
            <w:bookmarkStart w:id="9" w:name="_Hlk97886354"/>
            <w:r>
              <w:rPr>
                <w:rFonts w:hint="eastAsia" w:ascii="宋体" w:hAnsi="宋体" w:cs="楷体"/>
                <w:b/>
                <w:kern w:val="0"/>
                <w:sz w:val="24"/>
              </w:rPr>
              <w:t>分值</w:t>
            </w:r>
          </w:p>
        </w:tc>
        <w:tc>
          <w:tcPr>
            <w:tcW w:w="1360" w:type="dxa"/>
            <w:vAlign w:val="center"/>
          </w:tcPr>
          <w:p>
            <w:pPr>
              <w:widowControl/>
              <w:jc w:val="center"/>
              <w:rPr>
                <w:rFonts w:ascii="宋体" w:hAnsi="宋体" w:cs="楷体"/>
                <w:b/>
                <w:kern w:val="0"/>
                <w:sz w:val="24"/>
              </w:rPr>
            </w:pPr>
            <w:r>
              <w:rPr>
                <w:rFonts w:hint="eastAsia" w:ascii="宋体" w:hAnsi="宋体" w:cs="楷体"/>
                <w:b/>
                <w:kern w:val="0"/>
                <w:sz w:val="24"/>
              </w:rPr>
              <w:t>评价指标</w:t>
            </w:r>
          </w:p>
        </w:tc>
        <w:tc>
          <w:tcPr>
            <w:tcW w:w="7356" w:type="dxa"/>
            <w:vAlign w:val="center"/>
          </w:tcPr>
          <w:p>
            <w:pPr>
              <w:widowControl/>
              <w:ind w:firstLine="3518" w:firstLineChars="1460"/>
              <w:rPr>
                <w:rFonts w:ascii="宋体" w:hAnsi="宋体" w:cs="楷体"/>
                <w:b/>
                <w:kern w:val="0"/>
                <w:sz w:val="24"/>
              </w:rPr>
            </w:pPr>
            <w:r>
              <w:rPr>
                <w:rFonts w:hint="eastAsia" w:ascii="宋体" w:hAnsi="宋体" w:cs="楷体"/>
                <w:b/>
                <w:kern w:val="0"/>
                <w:sz w:val="24"/>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8" w:type="dxa"/>
            <w:vMerge w:val="restart"/>
            <w:vAlign w:val="center"/>
          </w:tcPr>
          <w:p>
            <w:pPr>
              <w:widowControl/>
              <w:jc w:val="center"/>
              <w:rPr>
                <w:rFonts w:ascii="宋体" w:hAnsi="宋体" w:cs="楷体"/>
                <w:kern w:val="0"/>
                <w:sz w:val="24"/>
              </w:rPr>
            </w:pPr>
            <w:r>
              <w:rPr>
                <w:rFonts w:hint="eastAsia" w:ascii="宋体" w:hAnsi="宋体" w:cs="楷体"/>
                <w:kern w:val="0"/>
                <w:sz w:val="24"/>
              </w:rPr>
              <w:t>技术</w:t>
            </w:r>
          </w:p>
          <w:p>
            <w:pPr>
              <w:widowControl/>
              <w:jc w:val="center"/>
              <w:rPr>
                <w:rFonts w:ascii="宋体" w:hAnsi="宋体" w:cs="楷体"/>
                <w:kern w:val="0"/>
                <w:sz w:val="24"/>
              </w:rPr>
            </w:pPr>
            <w:r>
              <w:rPr>
                <w:rFonts w:ascii="宋体" w:hAnsi="宋体" w:cs="楷体"/>
                <w:kern w:val="0"/>
                <w:sz w:val="24"/>
              </w:rPr>
              <w:t>5</w:t>
            </w:r>
            <w:r>
              <w:rPr>
                <w:rFonts w:hint="eastAsia" w:ascii="宋体" w:hAnsi="宋体" w:cs="楷体"/>
                <w:kern w:val="0"/>
                <w:sz w:val="24"/>
              </w:rPr>
              <w:t>0分</w:t>
            </w:r>
          </w:p>
        </w:tc>
        <w:tc>
          <w:tcPr>
            <w:tcW w:w="1360" w:type="dxa"/>
            <w:vAlign w:val="center"/>
          </w:tcPr>
          <w:p>
            <w:pPr>
              <w:widowControl/>
              <w:jc w:val="center"/>
              <w:rPr>
                <w:rFonts w:ascii="宋体" w:hAnsi="宋体" w:cs="楷体"/>
                <w:kern w:val="0"/>
                <w:sz w:val="24"/>
              </w:rPr>
            </w:pPr>
            <w:r>
              <w:rPr>
                <w:rFonts w:hint="eastAsia" w:ascii="宋体" w:hAnsi="宋体" w:cs="宋体"/>
                <w:color w:val="000000"/>
                <w:sz w:val="24"/>
              </w:rPr>
              <w:t>技术参数及功能响应（</w:t>
            </w:r>
            <w:r>
              <w:rPr>
                <w:rFonts w:ascii="宋体" w:hAnsi="宋体" w:cs="宋体"/>
                <w:color w:val="000000"/>
                <w:sz w:val="24"/>
              </w:rPr>
              <w:t>4</w:t>
            </w:r>
            <w:r>
              <w:rPr>
                <w:rFonts w:hint="eastAsia" w:ascii="宋体" w:hAnsi="宋体" w:cs="宋体"/>
                <w:color w:val="000000"/>
                <w:sz w:val="24"/>
              </w:rPr>
              <w:t>0分）</w:t>
            </w:r>
          </w:p>
        </w:tc>
        <w:tc>
          <w:tcPr>
            <w:tcW w:w="7356" w:type="dxa"/>
            <w:vAlign w:val="center"/>
          </w:tcPr>
          <w:p>
            <w:pPr>
              <w:widowControl/>
              <w:rPr>
                <w:rFonts w:ascii="宋体" w:hAnsi="宋体" w:cs="楷体"/>
                <w:kern w:val="0"/>
                <w:sz w:val="24"/>
              </w:rPr>
            </w:pPr>
            <w:r>
              <w:rPr>
                <w:rFonts w:hint="eastAsia" w:ascii="宋体" w:hAnsi="宋体" w:cs="楷体"/>
                <w:color w:val="000000"/>
                <w:sz w:val="24"/>
              </w:rPr>
              <w:t>投标产品技术参数全部符合磋商文件技术要求的得</w:t>
            </w:r>
            <w:r>
              <w:rPr>
                <w:rFonts w:ascii="宋体" w:hAnsi="宋体" w:cs="楷体"/>
                <w:color w:val="000000"/>
                <w:sz w:val="24"/>
              </w:rPr>
              <w:t>30</w:t>
            </w:r>
            <w:r>
              <w:rPr>
                <w:rFonts w:hint="eastAsia" w:ascii="宋体" w:hAnsi="宋体" w:cs="楷体"/>
                <w:color w:val="000000"/>
                <w:sz w:val="24"/>
              </w:rPr>
              <w:t>分。每负偏离一项扣2分，扣完为止；有一项评委组认可的正偏离加1分。本项最高得</w:t>
            </w:r>
            <w:r>
              <w:rPr>
                <w:rFonts w:ascii="宋体" w:hAnsi="宋体" w:cs="楷体"/>
                <w:color w:val="000000"/>
                <w:sz w:val="24"/>
              </w:rPr>
              <w:t>4</w:t>
            </w:r>
            <w:r>
              <w:rPr>
                <w:rFonts w:hint="eastAsia" w:ascii="宋体" w:hAnsi="宋体" w:cs="楷体"/>
                <w:color w:val="000000"/>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8" w:type="dxa"/>
            <w:vMerge w:val="continue"/>
            <w:vAlign w:val="center"/>
          </w:tcPr>
          <w:p>
            <w:pPr>
              <w:widowControl/>
              <w:jc w:val="center"/>
              <w:rPr>
                <w:rFonts w:ascii="宋体" w:hAnsi="宋体" w:cs="楷体"/>
                <w:kern w:val="0"/>
                <w:sz w:val="24"/>
              </w:rPr>
            </w:pPr>
          </w:p>
        </w:tc>
        <w:tc>
          <w:tcPr>
            <w:tcW w:w="1360" w:type="dxa"/>
            <w:vAlign w:val="center"/>
          </w:tcPr>
          <w:p>
            <w:pPr>
              <w:widowControl/>
              <w:jc w:val="center"/>
              <w:rPr>
                <w:rFonts w:ascii="宋体" w:hAnsi="宋体" w:cs="宋体"/>
                <w:color w:val="000000"/>
                <w:sz w:val="24"/>
              </w:rPr>
            </w:pPr>
            <w:r>
              <w:rPr>
                <w:rFonts w:hint="eastAsia" w:asciiTheme="minorEastAsia" w:hAnsiTheme="minorEastAsia" w:eastAsiaTheme="minorEastAsia"/>
                <w:sz w:val="24"/>
              </w:rPr>
              <w:t>品牌和选型（</w:t>
            </w:r>
            <w:r>
              <w:rPr>
                <w:rFonts w:asciiTheme="minorEastAsia" w:hAnsiTheme="minorEastAsia" w:eastAsiaTheme="minorEastAsia"/>
                <w:sz w:val="24"/>
              </w:rPr>
              <w:t>10</w:t>
            </w:r>
            <w:r>
              <w:rPr>
                <w:rFonts w:hint="eastAsia" w:asciiTheme="minorEastAsia" w:hAnsiTheme="minorEastAsia" w:eastAsiaTheme="minorEastAsia"/>
                <w:sz w:val="24"/>
              </w:rPr>
              <w:t>分）</w:t>
            </w:r>
          </w:p>
        </w:tc>
        <w:tc>
          <w:tcPr>
            <w:tcW w:w="7356" w:type="dxa"/>
            <w:vAlign w:val="center"/>
          </w:tcPr>
          <w:p>
            <w:pPr>
              <w:widowControl/>
              <w:rPr>
                <w:rFonts w:ascii="宋体" w:hAnsi="宋体" w:cs="楷体"/>
                <w:color w:val="000000"/>
                <w:sz w:val="24"/>
              </w:rPr>
            </w:pPr>
            <w:r>
              <w:rPr>
                <w:rFonts w:hint="eastAsia" w:cs="宋体" w:asciiTheme="minorEastAsia" w:hAnsiTheme="minorEastAsia" w:eastAsiaTheme="minorEastAsia"/>
                <w:kern w:val="0"/>
                <w:sz w:val="24"/>
              </w:rPr>
              <w:t>根据投标人所投设备的品牌与选型情况进行综合打分。优等</w:t>
            </w:r>
            <w:r>
              <w:rPr>
                <w:rFonts w:cs="宋体" w:asciiTheme="minorEastAsia" w:hAnsiTheme="minorEastAsia" w:eastAsiaTheme="minorEastAsia"/>
                <w:kern w:val="0"/>
                <w:sz w:val="24"/>
              </w:rPr>
              <w:t>9</w:t>
            </w: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0</w:t>
            </w:r>
            <w:r>
              <w:rPr>
                <w:rFonts w:hint="eastAsia" w:cs="宋体" w:asciiTheme="minorEastAsia" w:hAnsiTheme="minorEastAsia" w:eastAsiaTheme="minorEastAsia"/>
                <w:kern w:val="0"/>
                <w:sz w:val="24"/>
              </w:rPr>
              <w:t>分；良等的</w:t>
            </w:r>
            <w:r>
              <w:rPr>
                <w:rFonts w:cs="宋体" w:asciiTheme="minorEastAsia" w:hAnsiTheme="minorEastAsia" w:eastAsiaTheme="minorEastAsia"/>
                <w:kern w:val="0"/>
                <w:sz w:val="24"/>
              </w:rPr>
              <w:t>7</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8</w:t>
            </w:r>
            <w:r>
              <w:rPr>
                <w:rFonts w:hint="eastAsia" w:cs="宋体" w:asciiTheme="minorEastAsia" w:hAnsiTheme="minorEastAsia" w:eastAsiaTheme="minorEastAsia"/>
                <w:kern w:val="0"/>
                <w:sz w:val="24"/>
              </w:rPr>
              <w:t>分，一般的</w:t>
            </w:r>
            <w:r>
              <w:rPr>
                <w:rFonts w:cs="宋体" w:asciiTheme="minorEastAsia" w:hAnsiTheme="minorEastAsia" w:eastAsiaTheme="minorEastAsia"/>
                <w:kern w:val="0"/>
                <w:sz w:val="24"/>
              </w:rPr>
              <w:t>6</w:t>
            </w:r>
            <w:r>
              <w:rPr>
                <w:rFonts w:hint="eastAsia" w:cs="宋体" w:asciiTheme="minorEastAsia" w:hAnsiTheme="minorEastAsia" w:eastAsiaTheme="minorEastAsia"/>
                <w:kern w:val="0"/>
                <w:sz w:val="24"/>
              </w:rPr>
              <w:t>分，其他的</w:t>
            </w:r>
            <w:r>
              <w:rPr>
                <w:rFonts w:cs="宋体" w:asciiTheme="minorEastAsia" w:hAnsiTheme="minorEastAsia" w:eastAsiaTheme="minorEastAsia"/>
                <w:kern w:val="0"/>
                <w:sz w:val="24"/>
              </w:rPr>
              <w:t>6</w:t>
            </w:r>
            <w:r>
              <w:rPr>
                <w:rFonts w:hint="eastAsia" w:cs="宋体" w:asciiTheme="minorEastAsia" w:hAnsiTheme="minorEastAsia" w:eastAsiaTheme="minorEastAsia"/>
                <w:kern w:val="0"/>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78" w:type="dxa"/>
            <w:vMerge w:val="restart"/>
            <w:vAlign w:val="center"/>
          </w:tcPr>
          <w:p>
            <w:pPr>
              <w:widowControl/>
              <w:jc w:val="center"/>
              <w:rPr>
                <w:rFonts w:ascii="宋体" w:hAnsi="宋体" w:cs="楷体"/>
                <w:kern w:val="0"/>
                <w:sz w:val="24"/>
              </w:rPr>
            </w:pPr>
            <w:r>
              <w:rPr>
                <w:rFonts w:hint="eastAsia" w:ascii="宋体" w:hAnsi="宋体" w:cs="楷体"/>
                <w:kern w:val="0"/>
                <w:sz w:val="24"/>
              </w:rPr>
              <w:t>商务20分</w:t>
            </w:r>
          </w:p>
        </w:tc>
        <w:tc>
          <w:tcPr>
            <w:tcW w:w="1360" w:type="dxa"/>
            <w:vAlign w:val="center"/>
          </w:tcPr>
          <w:p>
            <w:pPr>
              <w:widowControl/>
              <w:jc w:val="center"/>
              <w:rPr>
                <w:rFonts w:ascii="宋体" w:hAnsi="宋体" w:cs="楷体"/>
                <w:kern w:val="0"/>
                <w:sz w:val="24"/>
              </w:rPr>
            </w:pPr>
            <w:r>
              <w:rPr>
                <w:rFonts w:hint="eastAsia" w:ascii="宋体" w:hAnsi="宋体" w:cs="楷体"/>
                <w:kern w:val="0"/>
                <w:sz w:val="24"/>
              </w:rPr>
              <w:t>整体实力（5分）</w:t>
            </w:r>
          </w:p>
        </w:tc>
        <w:tc>
          <w:tcPr>
            <w:tcW w:w="7356" w:type="dxa"/>
            <w:vAlign w:val="center"/>
          </w:tcPr>
          <w:p>
            <w:pPr>
              <w:widowControl/>
              <w:rPr>
                <w:rFonts w:ascii="宋体" w:hAnsi="宋体" w:cs="楷体"/>
                <w:kern w:val="0"/>
                <w:sz w:val="24"/>
              </w:rPr>
            </w:pPr>
            <w:r>
              <w:rPr>
                <w:rFonts w:hint="eastAsia" w:ascii="宋体" w:hAnsi="宋体" w:cs="楷体"/>
                <w:kern w:val="0"/>
                <w:sz w:val="24"/>
              </w:rPr>
              <w:t>根据投标人生产或经营本项目的能力与资格，即综合考虑其资质、实力、质量控制、管理能力、技术研发能力和水平进行评分：优得5分，良得4分，一般得3分，其他得3分以下。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78" w:type="dxa"/>
            <w:vMerge w:val="continue"/>
            <w:vAlign w:val="center"/>
          </w:tcPr>
          <w:p>
            <w:pPr>
              <w:widowControl/>
              <w:jc w:val="center"/>
              <w:rPr>
                <w:rFonts w:ascii="宋体" w:hAnsi="宋体" w:cs="楷体"/>
                <w:kern w:val="0"/>
                <w:sz w:val="24"/>
              </w:rPr>
            </w:pPr>
          </w:p>
        </w:tc>
        <w:tc>
          <w:tcPr>
            <w:tcW w:w="1360" w:type="dxa"/>
            <w:vAlign w:val="center"/>
          </w:tcPr>
          <w:p>
            <w:pPr>
              <w:widowControl/>
              <w:jc w:val="center"/>
              <w:rPr>
                <w:rFonts w:ascii="宋体" w:hAnsi="宋体" w:cs="楷体"/>
                <w:kern w:val="0"/>
                <w:sz w:val="24"/>
              </w:rPr>
            </w:pPr>
            <w:r>
              <w:rPr>
                <w:rFonts w:hint="eastAsia" w:ascii="宋体" w:hAnsi="宋体" w:cs="楷体"/>
                <w:kern w:val="0"/>
                <w:sz w:val="24"/>
              </w:rPr>
              <w:t>业绩及信誉（5分）</w:t>
            </w:r>
          </w:p>
        </w:tc>
        <w:tc>
          <w:tcPr>
            <w:tcW w:w="7356" w:type="dxa"/>
            <w:vAlign w:val="center"/>
          </w:tcPr>
          <w:p>
            <w:pPr>
              <w:widowControl/>
              <w:rPr>
                <w:rFonts w:ascii="宋体" w:hAnsi="宋体" w:cs="楷体"/>
                <w:kern w:val="0"/>
                <w:sz w:val="24"/>
              </w:rPr>
            </w:pPr>
            <w:r>
              <w:rPr>
                <w:rFonts w:hint="eastAsia" w:cs="宋体" w:asciiTheme="minorEastAsia" w:hAnsiTheme="minorEastAsia" w:eastAsiaTheme="minorEastAsia"/>
                <w:kern w:val="0"/>
                <w:sz w:val="24"/>
              </w:rPr>
              <w:t>投标文件中提供投标人自201</w:t>
            </w:r>
            <w:r>
              <w:rPr>
                <w:rFonts w:cs="宋体" w:asciiTheme="minorEastAsia" w:hAnsiTheme="minorEastAsia" w:eastAsiaTheme="minorEastAsia"/>
                <w:kern w:val="0"/>
                <w:sz w:val="24"/>
              </w:rPr>
              <w:t>9</w:t>
            </w:r>
            <w:r>
              <w:rPr>
                <w:rFonts w:hint="eastAsia" w:cs="宋体" w:asciiTheme="minorEastAsia" w:hAnsiTheme="minorEastAsia" w:eastAsiaTheme="minorEastAsia"/>
                <w:kern w:val="0"/>
                <w:sz w:val="24"/>
              </w:rPr>
              <w:t>年</w:t>
            </w:r>
            <w:r>
              <w:rPr>
                <w:rFonts w:cs="宋体" w:asciiTheme="minorEastAsia" w:hAnsiTheme="minorEastAsia" w:eastAsiaTheme="minorEastAsia"/>
                <w:kern w:val="0"/>
                <w:sz w:val="24"/>
              </w:rPr>
              <w:t>7</w:t>
            </w:r>
            <w:r>
              <w:rPr>
                <w:rFonts w:hint="eastAsia" w:cs="宋体" w:asciiTheme="minorEastAsia" w:hAnsiTheme="minorEastAsia" w:eastAsiaTheme="minorEastAsia"/>
                <w:kern w:val="0"/>
                <w:sz w:val="24"/>
              </w:rPr>
              <w:t>月1日以来类似项目业绩，有一份得1分，最高得5分。（</w:t>
            </w:r>
            <w:r>
              <w:rPr>
                <w:rFonts w:hint="eastAsia" w:cs="宋体" w:asciiTheme="minorEastAsia" w:hAnsiTheme="minorEastAsia" w:eastAsiaTheme="minorEastAsia"/>
                <w:b/>
                <w:kern w:val="0"/>
                <w:sz w:val="24"/>
              </w:rPr>
              <w:t>合同复印件需加盖投标单位公章，否则不得分。</w:t>
            </w:r>
            <w:r>
              <w:rPr>
                <w:rFonts w:hint="eastAsia" w:cs="宋体" w:asciiTheme="minorEastAsia" w:hAnsiTheme="minorEastAsia" w:eastAsia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78" w:type="dxa"/>
            <w:vMerge w:val="continue"/>
            <w:vAlign w:val="center"/>
          </w:tcPr>
          <w:p>
            <w:pPr>
              <w:widowControl/>
              <w:jc w:val="center"/>
              <w:rPr>
                <w:rFonts w:ascii="宋体" w:hAnsi="宋体" w:cs="楷体"/>
                <w:kern w:val="0"/>
                <w:sz w:val="24"/>
              </w:rPr>
            </w:pPr>
          </w:p>
        </w:tc>
        <w:tc>
          <w:tcPr>
            <w:tcW w:w="1360" w:type="dxa"/>
            <w:vAlign w:val="center"/>
          </w:tcPr>
          <w:p>
            <w:pPr>
              <w:widowControl/>
              <w:jc w:val="center"/>
              <w:rPr>
                <w:rFonts w:ascii="宋体" w:hAnsi="宋体" w:cs="楷体"/>
                <w:kern w:val="0"/>
                <w:sz w:val="24"/>
              </w:rPr>
            </w:pPr>
            <w:r>
              <w:rPr>
                <w:rFonts w:hint="eastAsia" w:ascii="宋体" w:hAnsi="宋体" w:cs="楷体"/>
                <w:kern w:val="0"/>
                <w:sz w:val="24"/>
              </w:rPr>
              <w:t>质保（</w:t>
            </w:r>
            <w:r>
              <w:rPr>
                <w:rFonts w:ascii="宋体" w:hAnsi="宋体" w:cs="楷体"/>
                <w:kern w:val="0"/>
                <w:sz w:val="24"/>
              </w:rPr>
              <w:t>5</w:t>
            </w:r>
            <w:r>
              <w:rPr>
                <w:rFonts w:hint="eastAsia" w:ascii="宋体" w:hAnsi="宋体" w:cs="楷体"/>
                <w:kern w:val="0"/>
                <w:sz w:val="24"/>
              </w:rPr>
              <w:t>分）</w:t>
            </w:r>
          </w:p>
        </w:tc>
        <w:tc>
          <w:tcPr>
            <w:tcW w:w="7356" w:type="dxa"/>
            <w:vAlign w:val="center"/>
          </w:tcPr>
          <w:p>
            <w:pPr>
              <w:widowControl/>
              <w:rPr>
                <w:rFonts w:ascii="宋体" w:hAnsi="宋体" w:cs="楷体"/>
                <w:kern w:val="0"/>
                <w:sz w:val="24"/>
              </w:rPr>
            </w:pPr>
            <w:r>
              <w:rPr>
                <w:rFonts w:hint="eastAsia" w:ascii="宋体" w:hAnsi="宋体" w:cs="楷体"/>
                <w:kern w:val="0"/>
                <w:sz w:val="24"/>
              </w:rPr>
              <w:t>满足招标文件质保最低要求得</w:t>
            </w:r>
            <w:r>
              <w:rPr>
                <w:rFonts w:ascii="宋体" w:hAnsi="宋体" w:cs="楷体"/>
                <w:kern w:val="0"/>
                <w:sz w:val="24"/>
              </w:rPr>
              <w:t>1</w:t>
            </w:r>
            <w:r>
              <w:rPr>
                <w:rFonts w:hint="eastAsia" w:ascii="宋体" w:hAnsi="宋体" w:cs="楷体"/>
                <w:kern w:val="0"/>
                <w:sz w:val="24"/>
              </w:rPr>
              <w:t>分，每增加1年质保加1分，本项最高得5分。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78" w:type="dxa"/>
            <w:vMerge w:val="continue"/>
            <w:vAlign w:val="center"/>
          </w:tcPr>
          <w:p>
            <w:pPr>
              <w:widowControl/>
              <w:jc w:val="center"/>
              <w:rPr>
                <w:rFonts w:ascii="宋体" w:hAnsi="宋体" w:cs="楷体"/>
                <w:kern w:val="0"/>
                <w:sz w:val="24"/>
              </w:rPr>
            </w:pPr>
          </w:p>
        </w:tc>
        <w:tc>
          <w:tcPr>
            <w:tcW w:w="1360" w:type="dxa"/>
            <w:vAlign w:val="center"/>
          </w:tcPr>
          <w:p>
            <w:pPr>
              <w:jc w:val="center"/>
              <w:rPr>
                <w:rFonts w:ascii="宋体" w:hAnsi="宋体" w:cs="楷体"/>
                <w:kern w:val="0"/>
                <w:sz w:val="24"/>
              </w:rPr>
            </w:pPr>
            <w:r>
              <w:rPr>
                <w:rFonts w:hint="eastAsia" w:ascii="宋体" w:hAnsi="宋体" w:cs="楷体"/>
                <w:kern w:val="0"/>
                <w:sz w:val="24"/>
              </w:rPr>
              <w:t>售后服务（</w:t>
            </w:r>
            <w:r>
              <w:rPr>
                <w:rFonts w:ascii="宋体" w:hAnsi="宋体" w:cs="楷体"/>
                <w:kern w:val="0"/>
                <w:sz w:val="24"/>
              </w:rPr>
              <w:t>5</w:t>
            </w:r>
            <w:r>
              <w:rPr>
                <w:rFonts w:hint="eastAsia" w:ascii="宋体" w:hAnsi="宋体" w:cs="楷体"/>
                <w:kern w:val="0"/>
                <w:sz w:val="24"/>
              </w:rPr>
              <w:t>分）</w:t>
            </w:r>
          </w:p>
        </w:tc>
        <w:tc>
          <w:tcPr>
            <w:tcW w:w="7356" w:type="dxa"/>
            <w:vAlign w:val="center"/>
          </w:tcPr>
          <w:p>
            <w:pPr>
              <w:rPr>
                <w:rFonts w:ascii="宋体" w:hAnsi="宋体" w:cs="楷体"/>
                <w:kern w:val="0"/>
                <w:sz w:val="24"/>
              </w:rPr>
            </w:pPr>
            <w:r>
              <w:rPr>
                <w:rFonts w:hint="eastAsia" w:ascii="宋体" w:hAnsi="宋体" w:cs="楷体"/>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hint="eastAsia" w:ascii="宋体" w:hAnsi="宋体" w:cs="楷体"/>
                <w:kern w:val="0"/>
                <w:sz w:val="24"/>
              </w:rPr>
              <w:t>分，良得</w:t>
            </w:r>
            <w:r>
              <w:rPr>
                <w:rFonts w:ascii="宋体" w:hAnsi="宋体" w:cs="楷体"/>
                <w:kern w:val="0"/>
                <w:sz w:val="24"/>
              </w:rPr>
              <w:t>4</w:t>
            </w:r>
            <w:r>
              <w:rPr>
                <w:rFonts w:hint="eastAsia" w:ascii="宋体" w:hAnsi="宋体" w:cs="楷体"/>
                <w:kern w:val="0"/>
                <w:sz w:val="24"/>
              </w:rPr>
              <w:t>分，一般得</w:t>
            </w:r>
            <w:r>
              <w:rPr>
                <w:rFonts w:ascii="宋体" w:hAnsi="宋体" w:cs="楷体"/>
                <w:kern w:val="0"/>
                <w:sz w:val="24"/>
              </w:rPr>
              <w:t>3</w:t>
            </w:r>
            <w:r>
              <w:rPr>
                <w:rFonts w:hint="eastAsia" w:ascii="宋体" w:hAnsi="宋体" w:cs="楷体"/>
                <w:kern w:val="0"/>
                <w:sz w:val="24"/>
              </w:rPr>
              <w:t>分，其他得</w:t>
            </w:r>
            <w:r>
              <w:rPr>
                <w:rFonts w:ascii="宋体" w:hAnsi="宋体" w:cs="楷体"/>
                <w:kern w:val="0"/>
                <w:sz w:val="24"/>
              </w:rPr>
              <w:t>3</w:t>
            </w:r>
            <w:r>
              <w:rPr>
                <w:rFonts w:hint="eastAsia" w:ascii="宋体" w:hAnsi="宋体" w:cs="楷体"/>
                <w:kern w:val="0"/>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价格</w:t>
            </w:r>
            <w:r>
              <w:rPr>
                <w:rFonts w:ascii="宋体" w:hAnsi="宋体" w:cs="楷体"/>
                <w:kern w:val="0"/>
                <w:sz w:val="24"/>
              </w:rPr>
              <w:t>3</w:t>
            </w:r>
            <w:r>
              <w:rPr>
                <w:rFonts w:hint="eastAsia" w:ascii="宋体" w:hAnsi="宋体" w:cs="楷体"/>
                <w:kern w:val="0"/>
                <w:sz w:val="24"/>
              </w:rPr>
              <w:t>0分</w:t>
            </w:r>
          </w:p>
        </w:tc>
        <w:tc>
          <w:tcPr>
            <w:tcW w:w="1360" w:type="dxa"/>
            <w:vAlign w:val="center"/>
          </w:tcPr>
          <w:p>
            <w:pPr>
              <w:widowControl/>
              <w:jc w:val="center"/>
              <w:rPr>
                <w:rFonts w:ascii="宋体" w:hAnsi="宋体" w:cs="楷体"/>
                <w:kern w:val="0"/>
                <w:sz w:val="24"/>
              </w:rPr>
            </w:pPr>
            <w:r>
              <w:rPr>
                <w:rFonts w:hint="eastAsia" w:ascii="宋体" w:hAnsi="宋体" w:cs="楷体"/>
                <w:kern w:val="0"/>
                <w:sz w:val="24"/>
              </w:rPr>
              <w:t>报价（</w:t>
            </w:r>
            <w:r>
              <w:rPr>
                <w:rFonts w:ascii="宋体" w:hAnsi="宋体" w:cs="楷体"/>
                <w:kern w:val="0"/>
                <w:sz w:val="24"/>
                <w:lang w:eastAsia="ja-JP"/>
              </w:rPr>
              <w:t>3</w:t>
            </w:r>
            <w:r>
              <w:rPr>
                <w:rFonts w:hint="eastAsia" w:ascii="宋体" w:hAnsi="宋体" w:cs="楷体"/>
                <w:kern w:val="0"/>
                <w:sz w:val="24"/>
                <w:lang w:eastAsia="ja-JP"/>
              </w:rPr>
              <w:t>0</w:t>
            </w:r>
            <w:r>
              <w:rPr>
                <w:rFonts w:hint="eastAsia" w:ascii="宋体" w:hAnsi="宋体" w:cs="楷体"/>
                <w:kern w:val="0"/>
                <w:sz w:val="24"/>
              </w:rPr>
              <w:t>分）</w:t>
            </w:r>
          </w:p>
        </w:tc>
        <w:tc>
          <w:tcPr>
            <w:tcW w:w="7356" w:type="dxa"/>
            <w:vAlign w:val="center"/>
          </w:tcPr>
          <w:p>
            <w:pPr>
              <w:widowControl/>
              <w:jc w:val="left"/>
              <w:rPr>
                <w:rFonts w:ascii="宋体" w:hAnsi="宋体" w:cs="楷体"/>
                <w:kern w:val="0"/>
                <w:sz w:val="24"/>
              </w:rPr>
            </w:pPr>
            <w:r>
              <w:rPr>
                <w:rFonts w:hint="eastAsia" w:ascii="宋体" w:hAnsi="宋体" w:cs="宋体"/>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38" w:type="dxa"/>
            <w:gridSpan w:val="2"/>
            <w:vAlign w:val="center"/>
          </w:tcPr>
          <w:p>
            <w:pPr>
              <w:widowControl/>
              <w:jc w:val="center"/>
              <w:rPr>
                <w:rFonts w:ascii="宋体" w:hAnsi="宋体" w:cs="楷体"/>
                <w:kern w:val="0"/>
                <w:sz w:val="24"/>
              </w:rPr>
            </w:pPr>
            <w:r>
              <w:rPr>
                <w:rFonts w:hint="eastAsia" w:ascii="宋体" w:hAnsi="宋体" w:cs="楷体"/>
                <w:kern w:val="0"/>
                <w:sz w:val="24"/>
              </w:rPr>
              <w:t>评价办法</w:t>
            </w:r>
          </w:p>
        </w:tc>
        <w:tc>
          <w:tcPr>
            <w:tcW w:w="7356" w:type="dxa"/>
            <w:vAlign w:val="center"/>
          </w:tcPr>
          <w:p>
            <w:pPr>
              <w:widowControl/>
              <w:rPr>
                <w:rFonts w:ascii="宋体" w:hAnsi="宋体" w:cs="楷体"/>
                <w:kern w:val="0"/>
                <w:sz w:val="24"/>
              </w:rPr>
            </w:pPr>
            <w:r>
              <w:rPr>
                <w:rFonts w:hint="eastAsia" w:ascii="宋体" w:hAnsi="宋体" w:cs="楷体"/>
                <w:kern w:val="0"/>
                <w:sz w:val="24"/>
              </w:rPr>
              <w:t>技术、商务、价格三项分数相加总分最高者作为成交人。</w:t>
            </w:r>
          </w:p>
        </w:tc>
      </w:tr>
      <w:bookmarkEnd w:id="9"/>
    </w:tbl>
    <w:p>
      <w:pPr>
        <w:pStyle w:val="27"/>
        <w:rPr>
          <w:rFonts w:cs="华文楷体" w:asciiTheme="minorEastAsia" w:hAnsiTheme="minorEastAsia" w:eastAsiaTheme="minorEastAsia"/>
          <w:color w:val="000000" w:themeColor="text1"/>
          <w:sz w:val="24"/>
        </w:rPr>
      </w:pPr>
    </w:p>
    <w:p>
      <w:pPr>
        <w:pStyle w:val="27"/>
        <w:rPr>
          <w:rFonts w:cs="华文楷体" w:asciiTheme="minorEastAsia" w:hAnsiTheme="minorEastAsia" w:eastAsiaTheme="minorEastAsia"/>
          <w:color w:val="000000" w:themeColor="text1"/>
          <w:sz w:val="24"/>
        </w:rPr>
      </w:pPr>
    </w:p>
    <w:sectPr>
      <w:footerReference r:id="rId3" w:type="default"/>
      <w:pgSz w:w="11906" w:h="16838"/>
      <w:pgMar w:top="1157" w:right="1293" w:bottom="87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9</w:t>
    </w:r>
    <w: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25"/>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C2F6FD4"/>
    <w:multiLevelType w:val="multilevel"/>
    <w:tmpl w:val="1C2F6F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56D6133"/>
    <w:multiLevelType w:val="multilevel"/>
    <w:tmpl w:val="656D6133"/>
    <w:lvl w:ilvl="0" w:tentative="0">
      <w:start w:val="1"/>
      <w:numFmt w:val="chineseCountingThousand"/>
      <w:pStyle w:val="28"/>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23"/>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JmNTAxYTA0NTllZTU0OWY5NWY0MWNlMzBjNGU2OTYifQ=="/>
  </w:docVars>
  <w:rsids>
    <w:rsidRoot w:val="00677253"/>
    <w:rsid w:val="000009C2"/>
    <w:rsid w:val="00001165"/>
    <w:rsid w:val="0000296C"/>
    <w:rsid w:val="00012671"/>
    <w:rsid w:val="00023C17"/>
    <w:rsid w:val="00040922"/>
    <w:rsid w:val="00051E51"/>
    <w:rsid w:val="000532D5"/>
    <w:rsid w:val="000548B7"/>
    <w:rsid w:val="0005727A"/>
    <w:rsid w:val="00061137"/>
    <w:rsid w:val="000714A9"/>
    <w:rsid w:val="00076272"/>
    <w:rsid w:val="0007712F"/>
    <w:rsid w:val="0008103D"/>
    <w:rsid w:val="00081F94"/>
    <w:rsid w:val="00082075"/>
    <w:rsid w:val="00090D16"/>
    <w:rsid w:val="00090FA0"/>
    <w:rsid w:val="00091675"/>
    <w:rsid w:val="00093C69"/>
    <w:rsid w:val="00095E35"/>
    <w:rsid w:val="000A237E"/>
    <w:rsid w:val="000B028E"/>
    <w:rsid w:val="000B2A23"/>
    <w:rsid w:val="000B46B6"/>
    <w:rsid w:val="000B5627"/>
    <w:rsid w:val="000B612A"/>
    <w:rsid w:val="000C509E"/>
    <w:rsid w:val="000C5C14"/>
    <w:rsid w:val="000C7202"/>
    <w:rsid w:val="000D0F53"/>
    <w:rsid w:val="000E1282"/>
    <w:rsid w:val="000E189D"/>
    <w:rsid w:val="000F42D4"/>
    <w:rsid w:val="001013C7"/>
    <w:rsid w:val="00120740"/>
    <w:rsid w:val="00124D6A"/>
    <w:rsid w:val="00132DF1"/>
    <w:rsid w:val="00136ECC"/>
    <w:rsid w:val="0014532C"/>
    <w:rsid w:val="00151FE3"/>
    <w:rsid w:val="001523D1"/>
    <w:rsid w:val="00152AF7"/>
    <w:rsid w:val="001537D0"/>
    <w:rsid w:val="0015538A"/>
    <w:rsid w:val="00157D41"/>
    <w:rsid w:val="00161281"/>
    <w:rsid w:val="00162658"/>
    <w:rsid w:val="001669DC"/>
    <w:rsid w:val="00167689"/>
    <w:rsid w:val="001805D4"/>
    <w:rsid w:val="0018309C"/>
    <w:rsid w:val="001915B6"/>
    <w:rsid w:val="001945DD"/>
    <w:rsid w:val="001A1588"/>
    <w:rsid w:val="001B542D"/>
    <w:rsid w:val="001B7DE0"/>
    <w:rsid w:val="001C2FDD"/>
    <w:rsid w:val="001C3CB8"/>
    <w:rsid w:val="001C7B5D"/>
    <w:rsid w:val="001D1544"/>
    <w:rsid w:val="001D390A"/>
    <w:rsid w:val="001D74AA"/>
    <w:rsid w:val="001E56B9"/>
    <w:rsid w:val="001E7F01"/>
    <w:rsid w:val="001F482C"/>
    <w:rsid w:val="001F5240"/>
    <w:rsid w:val="002005EF"/>
    <w:rsid w:val="00205CEA"/>
    <w:rsid w:val="00210A91"/>
    <w:rsid w:val="00212832"/>
    <w:rsid w:val="00213F1F"/>
    <w:rsid w:val="00215195"/>
    <w:rsid w:val="002155D0"/>
    <w:rsid w:val="00220FE2"/>
    <w:rsid w:val="0022114C"/>
    <w:rsid w:val="00225612"/>
    <w:rsid w:val="00225FFB"/>
    <w:rsid w:val="00241F5B"/>
    <w:rsid w:val="00255210"/>
    <w:rsid w:val="00257537"/>
    <w:rsid w:val="00264F2E"/>
    <w:rsid w:val="00267B4C"/>
    <w:rsid w:val="002712BA"/>
    <w:rsid w:val="0027442F"/>
    <w:rsid w:val="00290BA5"/>
    <w:rsid w:val="00294021"/>
    <w:rsid w:val="002A4D83"/>
    <w:rsid w:val="002A6850"/>
    <w:rsid w:val="002A7FA0"/>
    <w:rsid w:val="002C4EED"/>
    <w:rsid w:val="002D4BDA"/>
    <w:rsid w:val="002D4F55"/>
    <w:rsid w:val="002E2E09"/>
    <w:rsid w:val="002E4271"/>
    <w:rsid w:val="002E4C38"/>
    <w:rsid w:val="002E5361"/>
    <w:rsid w:val="002F27D3"/>
    <w:rsid w:val="002F45F4"/>
    <w:rsid w:val="003019B2"/>
    <w:rsid w:val="00310E99"/>
    <w:rsid w:val="003133D5"/>
    <w:rsid w:val="00314EF2"/>
    <w:rsid w:val="00317D46"/>
    <w:rsid w:val="00322B5A"/>
    <w:rsid w:val="00322BE9"/>
    <w:rsid w:val="00333570"/>
    <w:rsid w:val="00334BA9"/>
    <w:rsid w:val="003379C1"/>
    <w:rsid w:val="00342672"/>
    <w:rsid w:val="003442B7"/>
    <w:rsid w:val="0034778F"/>
    <w:rsid w:val="00356653"/>
    <w:rsid w:val="003724E4"/>
    <w:rsid w:val="00376C6E"/>
    <w:rsid w:val="00386D7F"/>
    <w:rsid w:val="00390090"/>
    <w:rsid w:val="0039062B"/>
    <w:rsid w:val="00394DB0"/>
    <w:rsid w:val="003A2B81"/>
    <w:rsid w:val="003C0443"/>
    <w:rsid w:val="003C04DF"/>
    <w:rsid w:val="003C351D"/>
    <w:rsid w:val="003C7DC7"/>
    <w:rsid w:val="003D160A"/>
    <w:rsid w:val="003D4A0D"/>
    <w:rsid w:val="003D61FA"/>
    <w:rsid w:val="003D7C44"/>
    <w:rsid w:val="003E476A"/>
    <w:rsid w:val="003E6540"/>
    <w:rsid w:val="004002A7"/>
    <w:rsid w:val="0040195A"/>
    <w:rsid w:val="00402946"/>
    <w:rsid w:val="004064D4"/>
    <w:rsid w:val="004156E2"/>
    <w:rsid w:val="00416531"/>
    <w:rsid w:val="004168FC"/>
    <w:rsid w:val="00425EB8"/>
    <w:rsid w:val="004332DF"/>
    <w:rsid w:val="004344AC"/>
    <w:rsid w:val="00434C4C"/>
    <w:rsid w:val="00434E30"/>
    <w:rsid w:val="00437917"/>
    <w:rsid w:val="00442C3E"/>
    <w:rsid w:val="00444E23"/>
    <w:rsid w:val="00450E2C"/>
    <w:rsid w:val="00461EE9"/>
    <w:rsid w:val="004648EC"/>
    <w:rsid w:val="00467767"/>
    <w:rsid w:val="004702A0"/>
    <w:rsid w:val="004751B8"/>
    <w:rsid w:val="00491C12"/>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4489"/>
    <w:rsid w:val="00523CC2"/>
    <w:rsid w:val="00524882"/>
    <w:rsid w:val="00526A36"/>
    <w:rsid w:val="00533763"/>
    <w:rsid w:val="0053698D"/>
    <w:rsid w:val="00540DB4"/>
    <w:rsid w:val="0054296F"/>
    <w:rsid w:val="00545C50"/>
    <w:rsid w:val="005462E4"/>
    <w:rsid w:val="0054706B"/>
    <w:rsid w:val="005520D9"/>
    <w:rsid w:val="00562BD8"/>
    <w:rsid w:val="00563113"/>
    <w:rsid w:val="0056352A"/>
    <w:rsid w:val="0056447B"/>
    <w:rsid w:val="00565D28"/>
    <w:rsid w:val="00575D68"/>
    <w:rsid w:val="005960FD"/>
    <w:rsid w:val="005A6C3F"/>
    <w:rsid w:val="005A79D1"/>
    <w:rsid w:val="005B1476"/>
    <w:rsid w:val="005B1BFE"/>
    <w:rsid w:val="005B3816"/>
    <w:rsid w:val="005C0785"/>
    <w:rsid w:val="005C27D0"/>
    <w:rsid w:val="005C35CE"/>
    <w:rsid w:val="005C5AD0"/>
    <w:rsid w:val="005C6DA8"/>
    <w:rsid w:val="005C7576"/>
    <w:rsid w:val="005C76E7"/>
    <w:rsid w:val="005D67B0"/>
    <w:rsid w:val="005E1939"/>
    <w:rsid w:val="005E2C35"/>
    <w:rsid w:val="005F2940"/>
    <w:rsid w:val="005F40F5"/>
    <w:rsid w:val="005F4BAA"/>
    <w:rsid w:val="005F5C62"/>
    <w:rsid w:val="00603792"/>
    <w:rsid w:val="00612484"/>
    <w:rsid w:val="00612567"/>
    <w:rsid w:val="0061505B"/>
    <w:rsid w:val="00616A3D"/>
    <w:rsid w:val="00623427"/>
    <w:rsid w:val="006268CA"/>
    <w:rsid w:val="006275FB"/>
    <w:rsid w:val="0063507D"/>
    <w:rsid w:val="00635CC3"/>
    <w:rsid w:val="0063760A"/>
    <w:rsid w:val="00637C44"/>
    <w:rsid w:val="00652534"/>
    <w:rsid w:val="006567C0"/>
    <w:rsid w:val="00664DBA"/>
    <w:rsid w:val="0066617B"/>
    <w:rsid w:val="00666A9E"/>
    <w:rsid w:val="00666B4D"/>
    <w:rsid w:val="00671026"/>
    <w:rsid w:val="00673824"/>
    <w:rsid w:val="0067480C"/>
    <w:rsid w:val="00677253"/>
    <w:rsid w:val="00680C81"/>
    <w:rsid w:val="00682A6E"/>
    <w:rsid w:val="00687101"/>
    <w:rsid w:val="00691E55"/>
    <w:rsid w:val="00694EE3"/>
    <w:rsid w:val="006954D9"/>
    <w:rsid w:val="00695DE5"/>
    <w:rsid w:val="0069748A"/>
    <w:rsid w:val="00697BF6"/>
    <w:rsid w:val="006A6518"/>
    <w:rsid w:val="006B2C69"/>
    <w:rsid w:val="006B4D5E"/>
    <w:rsid w:val="006B76C4"/>
    <w:rsid w:val="006C0063"/>
    <w:rsid w:val="006C21C0"/>
    <w:rsid w:val="006C265B"/>
    <w:rsid w:val="006C36F6"/>
    <w:rsid w:val="006D0494"/>
    <w:rsid w:val="006D2E6B"/>
    <w:rsid w:val="006D5B53"/>
    <w:rsid w:val="006D6402"/>
    <w:rsid w:val="006D67A1"/>
    <w:rsid w:val="006E1FED"/>
    <w:rsid w:val="006E468F"/>
    <w:rsid w:val="006E66F9"/>
    <w:rsid w:val="006E6BA9"/>
    <w:rsid w:val="00707159"/>
    <w:rsid w:val="007110B2"/>
    <w:rsid w:val="0071278A"/>
    <w:rsid w:val="0071378F"/>
    <w:rsid w:val="00716385"/>
    <w:rsid w:val="00721713"/>
    <w:rsid w:val="007229E8"/>
    <w:rsid w:val="00723444"/>
    <w:rsid w:val="007238BF"/>
    <w:rsid w:val="007258D7"/>
    <w:rsid w:val="00726604"/>
    <w:rsid w:val="007352D6"/>
    <w:rsid w:val="007408E3"/>
    <w:rsid w:val="00741D1A"/>
    <w:rsid w:val="00753C2D"/>
    <w:rsid w:val="00762729"/>
    <w:rsid w:val="0076688D"/>
    <w:rsid w:val="0076725C"/>
    <w:rsid w:val="00770B3F"/>
    <w:rsid w:val="007740EA"/>
    <w:rsid w:val="00790EF8"/>
    <w:rsid w:val="00792C70"/>
    <w:rsid w:val="00792C98"/>
    <w:rsid w:val="00792DFF"/>
    <w:rsid w:val="00794020"/>
    <w:rsid w:val="007954B2"/>
    <w:rsid w:val="00795FFF"/>
    <w:rsid w:val="007A639B"/>
    <w:rsid w:val="007B09B1"/>
    <w:rsid w:val="007C19EB"/>
    <w:rsid w:val="007C445E"/>
    <w:rsid w:val="007D748D"/>
    <w:rsid w:val="007D7D46"/>
    <w:rsid w:val="007E64A1"/>
    <w:rsid w:val="007F5B82"/>
    <w:rsid w:val="00802E7E"/>
    <w:rsid w:val="00806298"/>
    <w:rsid w:val="00810CF0"/>
    <w:rsid w:val="00814E41"/>
    <w:rsid w:val="00817E79"/>
    <w:rsid w:val="00830A77"/>
    <w:rsid w:val="008322AF"/>
    <w:rsid w:val="00832429"/>
    <w:rsid w:val="00834A1E"/>
    <w:rsid w:val="00835692"/>
    <w:rsid w:val="00837782"/>
    <w:rsid w:val="00843A4B"/>
    <w:rsid w:val="008452C7"/>
    <w:rsid w:val="00845AB0"/>
    <w:rsid w:val="00850E9A"/>
    <w:rsid w:val="00851000"/>
    <w:rsid w:val="00867712"/>
    <w:rsid w:val="00870183"/>
    <w:rsid w:val="008763CB"/>
    <w:rsid w:val="00876C90"/>
    <w:rsid w:val="008770AC"/>
    <w:rsid w:val="00881D97"/>
    <w:rsid w:val="008862E6"/>
    <w:rsid w:val="00894717"/>
    <w:rsid w:val="008958BB"/>
    <w:rsid w:val="008A27C2"/>
    <w:rsid w:val="008A2A60"/>
    <w:rsid w:val="008A4A5A"/>
    <w:rsid w:val="008A4B74"/>
    <w:rsid w:val="008B1E19"/>
    <w:rsid w:val="008C7E9B"/>
    <w:rsid w:val="008D0C57"/>
    <w:rsid w:val="0090276B"/>
    <w:rsid w:val="00915A78"/>
    <w:rsid w:val="00920648"/>
    <w:rsid w:val="009214D3"/>
    <w:rsid w:val="00925597"/>
    <w:rsid w:val="00925BB9"/>
    <w:rsid w:val="00937821"/>
    <w:rsid w:val="00942100"/>
    <w:rsid w:val="00954516"/>
    <w:rsid w:val="00954C1C"/>
    <w:rsid w:val="009701DD"/>
    <w:rsid w:val="00970953"/>
    <w:rsid w:val="009712B3"/>
    <w:rsid w:val="009735D7"/>
    <w:rsid w:val="009769B0"/>
    <w:rsid w:val="00980598"/>
    <w:rsid w:val="009836EB"/>
    <w:rsid w:val="00990815"/>
    <w:rsid w:val="009912B9"/>
    <w:rsid w:val="00992D86"/>
    <w:rsid w:val="009955CE"/>
    <w:rsid w:val="00995ABC"/>
    <w:rsid w:val="009A0F4E"/>
    <w:rsid w:val="009A52B1"/>
    <w:rsid w:val="009B4B83"/>
    <w:rsid w:val="009B75C8"/>
    <w:rsid w:val="009C4FD2"/>
    <w:rsid w:val="009C5500"/>
    <w:rsid w:val="009E5CB9"/>
    <w:rsid w:val="009F071E"/>
    <w:rsid w:val="009F7279"/>
    <w:rsid w:val="00A0748D"/>
    <w:rsid w:val="00A07669"/>
    <w:rsid w:val="00A11352"/>
    <w:rsid w:val="00A127F1"/>
    <w:rsid w:val="00A161C0"/>
    <w:rsid w:val="00A16B33"/>
    <w:rsid w:val="00A170F1"/>
    <w:rsid w:val="00A23CFF"/>
    <w:rsid w:val="00A40EB3"/>
    <w:rsid w:val="00A432E3"/>
    <w:rsid w:val="00A43E18"/>
    <w:rsid w:val="00A44149"/>
    <w:rsid w:val="00A546BA"/>
    <w:rsid w:val="00A55074"/>
    <w:rsid w:val="00A55966"/>
    <w:rsid w:val="00A66275"/>
    <w:rsid w:val="00A67FEF"/>
    <w:rsid w:val="00A70CBA"/>
    <w:rsid w:val="00A760AD"/>
    <w:rsid w:val="00A81256"/>
    <w:rsid w:val="00A828B7"/>
    <w:rsid w:val="00A94942"/>
    <w:rsid w:val="00AA3163"/>
    <w:rsid w:val="00AA4095"/>
    <w:rsid w:val="00AB222C"/>
    <w:rsid w:val="00AB352D"/>
    <w:rsid w:val="00AB45B2"/>
    <w:rsid w:val="00AB48EC"/>
    <w:rsid w:val="00AB786E"/>
    <w:rsid w:val="00AD2BA6"/>
    <w:rsid w:val="00AE2BF1"/>
    <w:rsid w:val="00AE7BBE"/>
    <w:rsid w:val="00AE7F3F"/>
    <w:rsid w:val="00AF1609"/>
    <w:rsid w:val="00AF675F"/>
    <w:rsid w:val="00B03471"/>
    <w:rsid w:val="00B06C0D"/>
    <w:rsid w:val="00B1318B"/>
    <w:rsid w:val="00B15805"/>
    <w:rsid w:val="00B17B90"/>
    <w:rsid w:val="00B26AD4"/>
    <w:rsid w:val="00B277EE"/>
    <w:rsid w:val="00B27C4A"/>
    <w:rsid w:val="00B32183"/>
    <w:rsid w:val="00B4691C"/>
    <w:rsid w:val="00B53CC4"/>
    <w:rsid w:val="00B55398"/>
    <w:rsid w:val="00B5559D"/>
    <w:rsid w:val="00B6647D"/>
    <w:rsid w:val="00B6749A"/>
    <w:rsid w:val="00B676A5"/>
    <w:rsid w:val="00B67E9D"/>
    <w:rsid w:val="00B73A67"/>
    <w:rsid w:val="00B7614A"/>
    <w:rsid w:val="00B81E08"/>
    <w:rsid w:val="00B90BE7"/>
    <w:rsid w:val="00B9185D"/>
    <w:rsid w:val="00B9625A"/>
    <w:rsid w:val="00B9740D"/>
    <w:rsid w:val="00BA2DEC"/>
    <w:rsid w:val="00BB2F70"/>
    <w:rsid w:val="00BB4492"/>
    <w:rsid w:val="00BC488E"/>
    <w:rsid w:val="00BC7A12"/>
    <w:rsid w:val="00BD11DC"/>
    <w:rsid w:val="00BD47CA"/>
    <w:rsid w:val="00BE716D"/>
    <w:rsid w:val="00BF2DDE"/>
    <w:rsid w:val="00BF3973"/>
    <w:rsid w:val="00BF6589"/>
    <w:rsid w:val="00C105A0"/>
    <w:rsid w:val="00C20B52"/>
    <w:rsid w:val="00C237E9"/>
    <w:rsid w:val="00C301E9"/>
    <w:rsid w:val="00C4020C"/>
    <w:rsid w:val="00C40CAA"/>
    <w:rsid w:val="00C55A03"/>
    <w:rsid w:val="00C56366"/>
    <w:rsid w:val="00C63E66"/>
    <w:rsid w:val="00C671BA"/>
    <w:rsid w:val="00C70A5A"/>
    <w:rsid w:val="00C73918"/>
    <w:rsid w:val="00C73AE3"/>
    <w:rsid w:val="00C73CA5"/>
    <w:rsid w:val="00C77D5D"/>
    <w:rsid w:val="00C86035"/>
    <w:rsid w:val="00C92E40"/>
    <w:rsid w:val="00CA2DDD"/>
    <w:rsid w:val="00CA76F8"/>
    <w:rsid w:val="00CB1382"/>
    <w:rsid w:val="00CB1FC5"/>
    <w:rsid w:val="00CB4486"/>
    <w:rsid w:val="00CC17F7"/>
    <w:rsid w:val="00CC256B"/>
    <w:rsid w:val="00CC3C21"/>
    <w:rsid w:val="00CC7209"/>
    <w:rsid w:val="00CF094D"/>
    <w:rsid w:val="00D03395"/>
    <w:rsid w:val="00D03596"/>
    <w:rsid w:val="00D0438E"/>
    <w:rsid w:val="00D061F5"/>
    <w:rsid w:val="00D06517"/>
    <w:rsid w:val="00D21539"/>
    <w:rsid w:val="00D2272B"/>
    <w:rsid w:val="00D24352"/>
    <w:rsid w:val="00D3128E"/>
    <w:rsid w:val="00D33176"/>
    <w:rsid w:val="00D33648"/>
    <w:rsid w:val="00D378D9"/>
    <w:rsid w:val="00D42C6E"/>
    <w:rsid w:val="00D43678"/>
    <w:rsid w:val="00D461DF"/>
    <w:rsid w:val="00D50D26"/>
    <w:rsid w:val="00D54B95"/>
    <w:rsid w:val="00D55E2F"/>
    <w:rsid w:val="00D7270B"/>
    <w:rsid w:val="00D75C8F"/>
    <w:rsid w:val="00D84F45"/>
    <w:rsid w:val="00D85233"/>
    <w:rsid w:val="00D85C5E"/>
    <w:rsid w:val="00D86BA3"/>
    <w:rsid w:val="00DB3AC7"/>
    <w:rsid w:val="00DB3C3D"/>
    <w:rsid w:val="00DC4161"/>
    <w:rsid w:val="00DC4976"/>
    <w:rsid w:val="00DD032B"/>
    <w:rsid w:val="00DE0162"/>
    <w:rsid w:val="00DF5389"/>
    <w:rsid w:val="00E00D1E"/>
    <w:rsid w:val="00E03197"/>
    <w:rsid w:val="00E034EE"/>
    <w:rsid w:val="00E060E2"/>
    <w:rsid w:val="00E144B8"/>
    <w:rsid w:val="00E24F5B"/>
    <w:rsid w:val="00E34907"/>
    <w:rsid w:val="00E3641B"/>
    <w:rsid w:val="00E37BFD"/>
    <w:rsid w:val="00E40571"/>
    <w:rsid w:val="00E410CF"/>
    <w:rsid w:val="00E55116"/>
    <w:rsid w:val="00E552A6"/>
    <w:rsid w:val="00E601F6"/>
    <w:rsid w:val="00E675E1"/>
    <w:rsid w:val="00E676F1"/>
    <w:rsid w:val="00E67E4F"/>
    <w:rsid w:val="00E7210B"/>
    <w:rsid w:val="00E731B3"/>
    <w:rsid w:val="00E81DC1"/>
    <w:rsid w:val="00E8527C"/>
    <w:rsid w:val="00E91076"/>
    <w:rsid w:val="00E94198"/>
    <w:rsid w:val="00E95376"/>
    <w:rsid w:val="00EA38B1"/>
    <w:rsid w:val="00EC033A"/>
    <w:rsid w:val="00EC48EF"/>
    <w:rsid w:val="00EC4FBF"/>
    <w:rsid w:val="00ED4359"/>
    <w:rsid w:val="00EF5E85"/>
    <w:rsid w:val="00F010D2"/>
    <w:rsid w:val="00F013B8"/>
    <w:rsid w:val="00F0146A"/>
    <w:rsid w:val="00F01F78"/>
    <w:rsid w:val="00F032B8"/>
    <w:rsid w:val="00F039BB"/>
    <w:rsid w:val="00F11315"/>
    <w:rsid w:val="00F11322"/>
    <w:rsid w:val="00F118C0"/>
    <w:rsid w:val="00F20395"/>
    <w:rsid w:val="00F21864"/>
    <w:rsid w:val="00F22504"/>
    <w:rsid w:val="00F411C2"/>
    <w:rsid w:val="00F4691A"/>
    <w:rsid w:val="00F51C3A"/>
    <w:rsid w:val="00F60965"/>
    <w:rsid w:val="00F60A30"/>
    <w:rsid w:val="00F70FD1"/>
    <w:rsid w:val="00F719EB"/>
    <w:rsid w:val="00F76908"/>
    <w:rsid w:val="00F8129D"/>
    <w:rsid w:val="00F82734"/>
    <w:rsid w:val="00F83F89"/>
    <w:rsid w:val="00F906E4"/>
    <w:rsid w:val="00F9604D"/>
    <w:rsid w:val="00F974E5"/>
    <w:rsid w:val="00FA0A17"/>
    <w:rsid w:val="00FA30FA"/>
    <w:rsid w:val="00FA6657"/>
    <w:rsid w:val="00FA7D64"/>
    <w:rsid w:val="00FB2546"/>
    <w:rsid w:val="00FB36AF"/>
    <w:rsid w:val="00FB5ECF"/>
    <w:rsid w:val="00FD0DF0"/>
    <w:rsid w:val="00FD3A90"/>
    <w:rsid w:val="00FE3673"/>
    <w:rsid w:val="00FF0E56"/>
    <w:rsid w:val="00FF2F48"/>
    <w:rsid w:val="00FF3080"/>
    <w:rsid w:val="00FF4ACA"/>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BD1457"/>
    <w:rsid w:val="21EF135E"/>
    <w:rsid w:val="22891C74"/>
    <w:rsid w:val="22DF0D97"/>
    <w:rsid w:val="293159F3"/>
    <w:rsid w:val="29920994"/>
    <w:rsid w:val="305675B0"/>
    <w:rsid w:val="3073521F"/>
    <w:rsid w:val="3191788B"/>
    <w:rsid w:val="32D20274"/>
    <w:rsid w:val="331665FC"/>
    <w:rsid w:val="34A85964"/>
    <w:rsid w:val="36A24822"/>
    <w:rsid w:val="38064E37"/>
    <w:rsid w:val="39E7040C"/>
    <w:rsid w:val="3ADA76DA"/>
    <w:rsid w:val="3B3C0CE1"/>
    <w:rsid w:val="3B9E560F"/>
    <w:rsid w:val="3D9020E8"/>
    <w:rsid w:val="3DA20817"/>
    <w:rsid w:val="40026549"/>
    <w:rsid w:val="40523A4C"/>
    <w:rsid w:val="409E0DFA"/>
    <w:rsid w:val="40BD17EF"/>
    <w:rsid w:val="420E191A"/>
    <w:rsid w:val="474D5022"/>
    <w:rsid w:val="4B636F99"/>
    <w:rsid w:val="4E867CD5"/>
    <w:rsid w:val="52B17225"/>
    <w:rsid w:val="52EC166D"/>
    <w:rsid w:val="53717C06"/>
    <w:rsid w:val="563433C5"/>
    <w:rsid w:val="59D050BB"/>
    <w:rsid w:val="59F25A39"/>
    <w:rsid w:val="5DA30B5A"/>
    <w:rsid w:val="61BC315C"/>
    <w:rsid w:val="633A5960"/>
    <w:rsid w:val="65C87292"/>
    <w:rsid w:val="66144017"/>
    <w:rsid w:val="663E522D"/>
    <w:rsid w:val="6A8D7B87"/>
    <w:rsid w:val="6C8B34FC"/>
    <w:rsid w:val="717F4C96"/>
    <w:rsid w:val="71C97C3F"/>
    <w:rsid w:val="74FA7E4E"/>
    <w:rsid w:val="79154C3B"/>
    <w:rsid w:val="7DC14075"/>
    <w:rsid w:val="7F7A41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0"/>
    <w:semiHidden/>
    <w:unhideWhenUsed/>
    <w:uiPriority w:val="99"/>
    <w:pPr>
      <w:spacing w:after="120"/>
    </w:pPr>
  </w:style>
  <w:style w:type="paragraph" w:styleId="7">
    <w:name w:val="Block Text"/>
    <w:basedOn w:val="1"/>
    <w:uiPriority w:val="99"/>
    <w:pPr>
      <w:autoSpaceDE w:val="0"/>
      <w:autoSpaceDN w:val="0"/>
      <w:adjustRightInd w:val="0"/>
      <w:ind w:left="256" w:right="6" w:firstLine="624" w:firstLineChars="200"/>
    </w:pPr>
    <w:rPr>
      <w:rFonts w:eastAsia="仿宋_GB2312"/>
      <w:kern w:val="0"/>
      <w:sz w:val="28"/>
      <w:szCs w:val="20"/>
    </w:rPr>
  </w:style>
  <w:style w:type="paragraph" w:styleId="8">
    <w:name w:val="Plain Text"/>
    <w:basedOn w:val="1"/>
    <w:link w:val="45"/>
    <w:qFormat/>
    <w:uiPriority w:val="0"/>
    <w:rPr>
      <w:rFonts w:ascii="宋体" w:hAnsi="Courier New"/>
      <w:szCs w:val="20"/>
    </w:rPr>
  </w:style>
  <w:style w:type="paragraph" w:styleId="9">
    <w:name w:val="Date"/>
    <w:basedOn w:val="1"/>
    <w:next w:val="1"/>
    <w:link w:val="43"/>
    <w:semiHidden/>
    <w:unhideWhenUsed/>
    <w:qFormat/>
    <w:uiPriority w:val="99"/>
    <w:pPr>
      <w:ind w:left="100" w:leftChars="2500"/>
    </w:pPr>
  </w:style>
  <w:style w:type="paragraph" w:styleId="10">
    <w:name w:val="Balloon Text"/>
    <w:basedOn w:val="1"/>
    <w:link w:val="35"/>
    <w:semiHidden/>
    <w:unhideWhenUsed/>
    <w:qFormat/>
    <w:uiPriority w:val="99"/>
    <w:rPr>
      <w:sz w:val="18"/>
      <w:szCs w:val="18"/>
    </w:rPr>
  </w:style>
  <w:style w:type="paragraph" w:styleId="11">
    <w:name w:val="footer"/>
    <w:basedOn w:val="1"/>
    <w:link w:val="22"/>
    <w:qFormat/>
    <w:uiPriority w:val="0"/>
    <w:pPr>
      <w:tabs>
        <w:tab w:val="center" w:pos="4153"/>
        <w:tab w:val="right" w:pos="8306"/>
      </w:tabs>
      <w:adjustRightInd w:val="0"/>
      <w:spacing w:line="240" w:lineRule="atLeast"/>
      <w:jc w:val="left"/>
    </w:pPr>
    <w:rPr>
      <w:kern w:val="0"/>
      <w:sz w:val="18"/>
      <w:szCs w:val="20"/>
    </w:rPr>
  </w:style>
  <w:style w:type="paragraph" w:styleId="12">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6"/>
    <w:link w:val="21"/>
    <w:qFormat/>
    <w:uiPriority w:val="0"/>
    <w:pPr>
      <w:ind w:firstLine="420" w:firstLineChars="100"/>
    </w:pPr>
    <w:rPr>
      <w:rFonts w:eastAsia="仿宋_GB2312"/>
      <w:szCs w:val="20"/>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rPr>
  </w:style>
  <w:style w:type="character" w:customStyle="1" w:styleId="20">
    <w:name w:val="正文文本 Char"/>
    <w:basedOn w:val="17"/>
    <w:link w:val="6"/>
    <w:semiHidden/>
    <w:qFormat/>
    <w:uiPriority w:val="99"/>
    <w:rPr>
      <w:rFonts w:ascii="Times New Roman" w:hAnsi="Times New Roman" w:eastAsia="宋体" w:cs="Times New Roman"/>
      <w:szCs w:val="24"/>
    </w:rPr>
  </w:style>
  <w:style w:type="character" w:customStyle="1" w:styleId="21">
    <w:name w:val="正文首行缩进 Char"/>
    <w:basedOn w:val="20"/>
    <w:link w:val="14"/>
    <w:qFormat/>
    <w:uiPriority w:val="0"/>
    <w:rPr>
      <w:rFonts w:ascii="Times New Roman" w:hAnsi="Times New Roman" w:eastAsia="仿宋_GB2312" w:cs="Times New Roman"/>
      <w:szCs w:val="20"/>
    </w:rPr>
  </w:style>
  <w:style w:type="character" w:customStyle="1" w:styleId="22">
    <w:name w:val="页脚 Char"/>
    <w:basedOn w:val="17"/>
    <w:link w:val="11"/>
    <w:qFormat/>
    <w:uiPriority w:val="0"/>
    <w:rPr>
      <w:rFonts w:ascii="Times New Roman" w:hAnsi="Times New Roman" w:eastAsia="宋体" w:cs="Times New Roman"/>
      <w:kern w:val="0"/>
      <w:sz w:val="18"/>
      <w:szCs w:val="20"/>
    </w:rPr>
  </w:style>
  <w:style w:type="paragraph" w:customStyle="1" w:styleId="23">
    <w:name w:val="样式 标题 3h3H3sect1.2.3 + 五号 段前: 6 磅 段后: 6 磅 行距: 单倍行距"/>
    <w:basedOn w:val="4"/>
    <w:qFormat/>
    <w:uiPriority w:val="0"/>
    <w:pPr>
      <w:numPr>
        <w:ilvl w:val="2"/>
        <w:numId w:val="1"/>
      </w:numPr>
      <w:adjustRightInd w:val="0"/>
      <w:spacing w:before="120" w:after="120" w:line="240" w:lineRule="auto"/>
      <w:jc w:val="left"/>
    </w:pPr>
    <w:rPr>
      <w:kern w:val="0"/>
      <w:sz w:val="21"/>
      <w:szCs w:val="20"/>
    </w:rPr>
  </w:style>
  <w:style w:type="paragraph" w:customStyle="1" w:styleId="24">
    <w:name w:val="样式 标题 2 + 宋体 五号 行距: 单倍行距"/>
    <w:basedOn w:val="3"/>
    <w:qFormat/>
    <w:uiPriority w:val="0"/>
    <w:pPr>
      <w:adjustRightInd w:val="0"/>
      <w:spacing w:line="240" w:lineRule="auto"/>
      <w:jc w:val="left"/>
    </w:pPr>
    <w:rPr>
      <w:rFonts w:ascii="宋体" w:hAnsi="宋体" w:eastAsia="宋体" w:cs="Times New Roman"/>
      <w:kern w:val="0"/>
      <w:sz w:val="21"/>
      <w:szCs w:val="20"/>
    </w:rPr>
  </w:style>
  <w:style w:type="paragraph" w:customStyle="1" w:styleId="25">
    <w:name w:val="样式1"/>
    <w:basedOn w:val="1"/>
    <w:qFormat/>
    <w:uiPriority w:val="0"/>
    <w:pPr>
      <w:numPr>
        <w:ilvl w:val="0"/>
        <w:numId w:val="2"/>
      </w:numPr>
      <w:adjustRightInd w:val="0"/>
    </w:pPr>
    <w:rPr>
      <w:rFonts w:ascii="宋体" w:hAnsi="宋体"/>
      <w:kern w:val="0"/>
      <w:szCs w:val="21"/>
    </w:rPr>
  </w:style>
  <w:style w:type="paragraph" w:customStyle="1" w:styleId="26">
    <w:name w:val="样式 标题 4 + 段前: 5 磅 段后: 5 磅 行距: 单倍行距"/>
    <w:basedOn w:val="5"/>
    <w:qFormat/>
    <w:uiPriority w:val="0"/>
    <w:pPr>
      <w:tabs>
        <w:tab w:val="left" w:pos="1680"/>
        <w:tab w:val="left" w:pos="2880"/>
      </w:tabs>
      <w:adjustRightInd w:val="0"/>
      <w:spacing w:before="100" w:after="100" w:line="240" w:lineRule="auto"/>
      <w:ind w:left="1680" w:hanging="420"/>
      <w:jc w:val="left"/>
    </w:pPr>
    <w:rPr>
      <w:rFonts w:ascii="Arial" w:hAnsi="Arial" w:eastAsia="黑体" w:cs="宋体"/>
      <w:kern w:val="0"/>
      <w:szCs w:val="20"/>
    </w:rPr>
  </w:style>
  <w:style w:type="paragraph" w:customStyle="1" w:styleId="27">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28">
    <w:name w:val="样式 标题 1 + 四号 居中 段前: 12 磅 段后: 12 磅 行距: 单倍行距"/>
    <w:basedOn w:val="2"/>
    <w:qFormat/>
    <w:uiPriority w:val="0"/>
    <w:pPr>
      <w:numPr>
        <w:ilvl w:val="0"/>
        <w:numId w:val="1"/>
      </w:numPr>
      <w:adjustRightInd w:val="0"/>
      <w:spacing w:before="240" w:after="240" w:line="240" w:lineRule="auto"/>
      <w:jc w:val="center"/>
    </w:pPr>
    <w:rPr>
      <w:sz w:val="28"/>
      <w:szCs w:val="20"/>
    </w:rPr>
  </w:style>
  <w:style w:type="paragraph" w:customStyle="1" w:styleId="29">
    <w:name w:val="样式 标题 2 + 宋体 五号 非加粗 黑色"/>
    <w:basedOn w:val="3"/>
    <w:qFormat/>
    <w:uiPriority w:val="0"/>
    <w:pPr>
      <w:adjustRightInd w:val="0"/>
      <w:spacing w:line="416" w:lineRule="atLeast"/>
      <w:jc w:val="left"/>
    </w:pPr>
    <w:rPr>
      <w:rFonts w:ascii="宋体" w:hAnsi="宋体" w:eastAsia="宋体" w:cs="Times New Roman"/>
      <w:b w:val="0"/>
      <w:bCs w:val="0"/>
      <w:color w:val="000000"/>
      <w:kern w:val="0"/>
      <w:sz w:val="21"/>
    </w:rPr>
  </w:style>
  <w:style w:type="paragraph" w:customStyle="1" w:styleId="30">
    <w:name w:val="样式 宋体 五号 两端对齐 行距: 单倍行距"/>
    <w:basedOn w:val="1"/>
    <w:qFormat/>
    <w:uiPriority w:val="0"/>
    <w:pPr>
      <w:adjustRightInd w:val="0"/>
    </w:pPr>
    <w:rPr>
      <w:rFonts w:ascii="宋体" w:hAnsi="宋体"/>
      <w:kern w:val="0"/>
      <w:szCs w:val="20"/>
    </w:rPr>
  </w:style>
  <w:style w:type="character" w:customStyle="1" w:styleId="31">
    <w:name w:val="标题 3 Char"/>
    <w:basedOn w:val="17"/>
    <w:link w:val="4"/>
    <w:semiHidden/>
    <w:qFormat/>
    <w:uiPriority w:val="9"/>
    <w:rPr>
      <w:rFonts w:ascii="Times New Roman" w:hAnsi="Times New Roman" w:eastAsia="宋体" w:cs="Times New Roman"/>
      <w:b/>
      <w:bCs/>
      <w:sz w:val="32"/>
      <w:szCs w:val="32"/>
    </w:rPr>
  </w:style>
  <w:style w:type="character" w:customStyle="1" w:styleId="32">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3">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34">
    <w:name w:val="标题 1 Char"/>
    <w:basedOn w:val="17"/>
    <w:link w:val="2"/>
    <w:qFormat/>
    <w:uiPriority w:val="9"/>
    <w:rPr>
      <w:rFonts w:ascii="Times New Roman" w:hAnsi="Times New Roman" w:eastAsia="宋体" w:cs="Times New Roman"/>
      <w:b/>
      <w:bCs/>
      <w:kern w:val="44"/>
      <w:sz w:val="44"/>
      <w:szCs w:val="44"/>
    </w:rPr>
  </w:style>
  <w:style w:type="character" w:customStyle="1" w:styleId="35">
    <w:name w:val="批注框文本 Char"/>
    <w:basedOn w:val="17"/>
    <w:link w:val="10"/>
    <w:semiHidden/>
    <w:qFormat/>
    <w:uiPriority w:val="99"/>
    <w:rPr>
      <w:rFonts w:ascii="Times New Roman" w:hAnsi="Times New Roman" w:eastAsia="宋体" w:cs="Times New Roman"/>
      <w:sz w:val="18"/>
      <w:szCs w:val="18"/>
    </w:rPr>
  </w:style>
  <w:style w:type="character" w:customStyle="1" w:styleId="36">
    <w:name w:val="页眉 Char"/>
    <w:basedOn w:val="17"/>
    <w:link w:val="12"/>
    <w:qFormat/>
    <w:uiPriority w:val="99"/>
    <w:rPr>
      <w:rFonts w:ascii="Times New Roman" w:hAnsi="Times New Roman" w:eastAsia="宋体" w:cs="Times New Roman"/>
      <w:sz w:val="18"/>
      <w:szCs w:val="18"/>
    </w:rPr>
  </w:style>
  <w:style w:type="character" w:customStyle="1" w:styleId="37">
    <w:name w:val="font41"/>
    <w:basedOn w:val="17"/>
    <w:qFormat/>
    <w:uiPriority w:val="0"/>
    <w:rPr>
      <w:rFonts w:hint="eastAsia" w:ascii="宋体" w:hAnsi="宋体" w:eastAsia="宋体" w:cs="宋体"/>
      <w:color w:val="000000"/>
      <w:sz w:val="20"/>
      <w:szCs w:val="20"/>
      <w:u w:val="none"/>
    </w:rPr>
  </w:style>
  <w:style w:type="character" w:customStyle="1" w:styleId="38">
    <w:name w:val="font51"/>
    <w:basedOn w:val="17"/>
    <w:qFormat/>
    <w:uiPriority w:val="0"/>
    <w:rPr>
      <w:rFonts w:hint="eastAsia" w:ascii="宋体" w:hAnsi="宋体" w:eastAsia="宋体" w:cs="宋体"/>
      <w:color w:val="000000"/>
      <w:sz w:val="20"/>
      <w:szCs w:val="20"/>
      <w:u w:val="single"/>
    </w:rPr>
  </w:style>
  <w:style w:type="paragraph" w:styleId="39">
    <w:name w:val="List Paragraph"/>
    <w:basedOn w:val="1"/>
    <w:link w:val="42"/>
    <w:qFormat/>
    <w:uiPriority w:val="0"/>
    <w:pPr>
      <w:ind w:firstLine="420" w:firstLineChars="200"/>
    </w:p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1">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42">
    <w:name w:val="列出段落 Char"/>
    <w:link w:val="39"/>
    <w:qFormat/>
    <w:uiPriority w:val="0"/>
    <w:rPr>
      <w:kern w:val="2"/>
      <w:sz w:val="21"/>
      <w:szCs w:val="24"/>
    </w:rPr>
  </w:style>
  <w:style w:type="character" w:customStyle="1" w:styleId="43">
    <w:name w:val="日期 Char"/>
    <w:basedOn w:val="17"/>
    <w:link w:val="9"/>
    <w:semiHidden/>
    <w:qFormat/>
    <w:uiPriority w:val="99"/>
    <w:rPr>
      <w:kern w:val="2"/>
      <w:sz w:val="21"/>
      <w:szCs w:val="24"/>
    </w:rPr>
  </w:style>
  <w:style w:type="paragraph" w:customStyle="1" w:styleId="44">
    <w:name w:val="_Style 83"/>
    <w:basedOn w:val="6"/>
    <w:next w:val="14"/>
    <w:uiPriority w:val="0"/>
    <w:pPr>
      <w:ind w:firstLine="420" w:firstLineChars="100"/>
    </w:pPr>
    <w:rPr>
      <w:rFonts w:eastAsia="仿宋_GB2312"/>
      <w:szCs w:val="20"/>
    </w:rPr>
  </w:style>
  <w:style w:type="character" w:customStyle="1" w:styleId="45">
    <w:name w:val="纯文本 Char"/>
    <w:basedOn w:val="17"/>
    <w:link w:val="8"/>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71574-D161-45E0-B6A9-3ED81DB24BF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1707</Words>
  <Characters>9730</Characters>
  <Lines>81</Lines>
  <Paragraphs>22</Paragraphs>
  <TotalTime>8</TotalTime>
  <ScaleCrop>false</ScaleCrop>
  <LinksUpToDate>false</LinksUpToDate>
  <CharactersWithSpaces>11415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2022-07-02T08:17:00Z</dcterms:created>
  <dc:creator>Lenovo</dc:creator>
  <cp:lastModifiedBy>DELL</cp:lastModifiedBy>
  <cp:lastPrinted>2020-06-18T09:09:00Z</cp:lastPrinted>
  <dcterms:modified xsi:type="dcterms:W3CDTF">2022-09-28T16:11:24Z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6F6C64F8256D4BB28BF15FCC8A1C10BE</vt:lpwstr>
  </property>
</Properties>
</file>